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800"/>
      </w:pPr>
    </w:p>
    <w:p>
      <w:pPr>
        <w:jc w:val="center"/>
      </w:pPr>
      <w:r>
        <w:rPr>
          <w:b/>
          <w:bCs/>
          <w:color w:val="1F6F4A"/>
          <w:sz w:val="72"/>
          <w:szCs w:val="72"/>
        </w:rPr>
        <w:t xml:space="preserve">PickkerMarket</w:t>
      </w:r>
    </w:p>
    <w:p>
      <w:pPr>
        <w:spacing w:after="100" w:before="200"/>
        <w:jc w:val="center"/>
      </w:pPr>
      <w:r>
        <w:rPr>
          <w:sz w:val="36"/>
          <w:szCs w:val="36"/>
        </w:rPr>
        <w:t xml:space="preserve">Administrator Guide</w:t>
      </w:r>
    </w:p>
    <w:p>
      <w:pPr>
        <w:spacing w:before="100"/>
        <w:jc w:val="center"/>
      </w:pPr>
      <w:r>
        <w:rPr>
          <w:i/>
          <w:iCs/>
          <w:color w:val="595959"/>
          <w:sz w:val="22"/>
          <w:szCs w:val="22"/>
        </w:rPr>
        <w:t xml:space="preserve">How to run the platform from the Admin Portal</w:t>
      </w:r>
    </w:p>
    <w:p>
      <w:pPr>
        <w:spacing w:before="600"/>
        <w:jc w:val="center"/>
      </w:pPr>
      <w:r>
        <w:rPr>
          <w:color w:val="595959"/>
          <w:sz w:val="20"/>
          <w:szCs w:val="20"/>
        </w:rPr>
        <w:t xml:space="preserve">Covers products, pricing, pickers, orders, users, markets, content, and every setting an administrator controls.</w:t>
      </w:r>
    </w:p>
    <w:p>
      <w:r>
        <w:br w:type="page"/>
      </w:r>
    </w:p>
    <w:p>
      <w:pPr>
        <w:pStyle w:val="Heading1"/>
        <w:spacing w:after="200" w:before="400"/>
      </w:pPr>
      <w:r>
        <w:t xml:space="preserve">1. Introduction</w:t>
      </w:r>
    </w:p>
    <w:p>
      <w:pPr>
        <w:spacing w:after="160"/>
      </w:pPr>
      <w:r>
        <w:rPr>
          <w:b w:val="false"/>
          <w:bCs w:val="false"/>
          <w:i w:val="false"/>
          <w:iCs w:val="false"/>
        </w:rPr>
        <w:t xml:space="preserve">PickkerMarket is a produce-delivery marketplace connecting customers to pickers (delivery agents) who shop for and deliver fresh produce ordered through the website. The platform has four roles:</w:t>
      </w:r>
    </w:p>
    <w:p>
      <w:pPr>
        <w:pStyle w:val="ListParagraph"/>
        <w:numPr>
          <w:ilvl w:val="0"/>
          <w:numId w:val="2"/>
        </w:numPr>
        <w:spacing w:after="80"/>
      </w:pPr>
      <w:r>
        <w:t xml:space="preserve">Customer — browses the market, builds a cart, checks out, and tracks delivery.</w:t>
      </w:r>
    </w:p>
    <w:p>
      <w:pPr>
        <w:pStyle w:val="ListParagraph"/>
        <w:numPr>
          <w:ilvl w:val="0"/>
          <w:numId w:val="2"/>
        </w:numPr>
        <w:spacing w:after="80"/>
      </w:pPr>
      <w:r>
        <w:t xml:space="preserve">Picker (B2C) — an individual who gathers a customer's order from a market and delivers it, usually by motorcycle, car, or bicycle.</w:t>
      </w:r>
    </w:p>
    <w:p>
      <w:pPr>
        <w:pStyle w:val="ListParagraph"/>
        <w:numPr>
          <w:ilvl w:val="0"/>
          <w:numId w:val="2"/>
        </w:numPr>
        <w:spacing w:after="80"/>
      </w:pPr>
      <w:r>
        <w:t xml:space="preserve">Picker (B2B) — drives a registered truck and only serves business (wholesale) orders; onboarded entirely by an admin, never self-signup.</w:t>
      </w:r>
    </w:p>
    <w:p>
      <w:pPr>
        <w:pStyle w:val="ListParagraph"/>
        <w:numPr>
          <w:ilvl w:val="0"/>
          <w:numId w:val="2"/>
        </w:numPr>
        <w:spacing w:after="80"/>
      </w:pPr>
      <w:r>
        <w:t xml:space="preserve">Admin — you. Runs the catalog, pricing, users, and every setting covered in this guide.</w:t>
      </w:r>
    </w:p>
    <w:p>
      <w:pPr>
        <w:spacing w:after="160"/>
      </w:pPr>
      <w:r>
        <w:rPr>
          <w:b w:val="false"/>
          <w:bCs w:val="false"/>
          <w:i w:val="false"/>
          <w:iCs w:val="false"/>
        </w:rPr>
        <w:t xml:space="preserve">The site works in both English and Kiswahili. Customers and pickers pick their own language from their account menu; almost everything in this guide — product names, categories, units — has an English and a Kiswahili side that you fill in once and the site displays automatically in whichever language the visitor has chosen.</w:t>
      </w:r>
    </w:p>
    <w:p>
      <w:pPr>
        <w:pStyle w:val="Heading1"/>
        <w:spacing w:after="200" w:before="400"/>
      </w:pPr>
      <w:r>
        <w:t xml:space="preserve">2. Getting Started</w:t>
      </w:r>
    </w:p>
    <w:p>
      <w:pPr>
        <w:spacing w:after="160"/>
      </w:pPr>
      <w:r>
        <w:rPr>
          <w:b w:val="false"/>
          <w:bCs w:val="false"/>
          <w:i w:val="false"/>
          <w:iCs w:val="false"/>
        </w:rPr>
        <w:t xml:space="preserve">Log in with your admin email and password like any account. Once logged in, your account menu (top-right) shows an "Admin Portal" link — this is the control center this whole guide is about. Every admin page requires you to be logged in as an admin; the site will not show these pages to a customer or picker account.</w:t>
      </w:r>
    </w:p>
    <w:p>
      <w:pPr>
        <w:spacing w:after="160"/>
        <w:ind w:left="200"/>
      </w:pPr>
      <w:r>
        <w:rPr>
          <w:b/>
          <w:bCs/>
          <w:color w:val="1F6F4A"/>
        </w:rPr>
        <w:t xml:space="preserve">Note: </w:t>
      </w:r>
      <w:r>
        <w:t xml:space="preserve">There is exactly one way to become an admin: an existing admin (or direct database access) sets a user's role to admin. There is no admin self-signup, by design.</w:t>
      </w:r>
    </w:p>
    <w:p>
      <w:pPr>
        <w:pStyle w:val="Heading1"/>
        <w:spacing w:after="200" w:before="400"/>
      </w:pPr>
      <w:r>
        <w:t xml:space="preserve">3. Admin Portal Layout</w:t>
      </w:r>
    </w:p>
    <w:p>
      <w:pPr>
        <w:spacing w:after="160"/>
      </w:pPr>
      <w:r>
        <w:rPr>
          <w:b w:val="false"/>
          <w:bCs w:val="false"/>
          <w:i w:val="false"/>
          <w:iCs w:val="false"/>
        </w:rPr>
        <w:t xml:space="preserve">The Admin Portal home page ("Catalog management") is your starting point. Along the top is a row of links to every other admin page covered in this guide — Users, Stale Orders, Payment Methods, Contact Info, Home Page Content, Legal Policies, Picker Settings, Fee Settings, Truck Types, Known Areas, Markets, Order Locations Map, Picker Payouts, Financial Dashboard, Market &amp; Customer Insights, Regional Price Trends, and Send Update. Below that is the product catalog itself (add/edit/delete products) and, further down, a live list of all current orders with quick actions (approve payment, change status, track).</w:t>
      </w:r>
    </w:p>
    <w:p>
      <w:pPr>
        <w:spacing w:after="160"/>
      </w:pPr>
      <w:r>
        <w:rPr>
          <w:b w:val="false"/>
          <w:bCs w:val="false"/>
          <w:i w:val="false"/>
          <w:iCs w:val="false"/>
        </w:rPr>
        <w:t xml:space="preserve">On small screens, this navigation becomes a slide-out drawer — tap the menu icon to open it.</w:t>
      </w:r>
    </w:p>
    <w:p>
      <w:pPr>
        <w:pStyle w:val="Heading1"/>
        <w:spacing w:after="200" w:before="400"/>
      </w:pPr>
      <w:r>
        <w:t xml:space="preserve">4. Product Catalog</w:t>
      </w:r>
    </w:p>
    <w:p>
      <w:pPr>
        <w:spacing w:after="160"/>
      </w:pPr>
      <w:r>
        <w:rPr>
          <w:b w:val="false"/>
          <w:bCs w:val="false"/>
          <w:i w:val="false"/>
          <w:iCs w:val="false"/>
        </w:rPr>
        <w:t xml:space="preserve">This is where you keep the actual produce customers buy: name, category, price, unit, stock, and images.</w:t>
      </w:r>
    </w:p>
    <w:p>
      <w:pPr>
        <w:pStyle w:val="Heading2"/>
        <w:spacing w:after="150" w:before="300"/>
      </w:pPr>
      <w:r>
        <w:t xml:space="preserve">4.1 Adding or Editing a Product</w:t>
      </w:r>
    </w:p>
    <w:p>
      <w:pPr>
        <w:spacing w:after="160"/>
      </w:pPr>
      <w:r>
        <w:rPr>
          <w:b/>
          <w:bCs/>
        </w:rPr>
        <w:t xml:space="preserve">Admin Portal path: </w:t>
      </w:r>
      <w:r>
        <w:rPr>
          <w:i/>
          <w:iCs/>
          <w:color w:val="1F6F4A"/>
        </w:rPr>
        <w:t xml:space="preserve">Admin Portal -&gt; Add Product (or the pencil icon next to an existing product)</w:t>
      </w:r>
    </w:p>
    <w:p>
      <w:pPr>
        <w:spacing w:after="160"/>
      </w:pPr>
      <w:r>
        <w:rPr>
          <w:b w:val="false"/>
          <w:bCs w:val="false"/>
          <w:i w:val="false"/>
          <w:iCs w:val="false"/>
        </w:rPr>
        <w:t xml:space="preserve">Each product has:</w:t>
      </w:r>
    </w:p>
    <w:p>
      <w:pPr>
        <w:pStyle w:val="ListParagraph"/>
        <w:numPr>
          <w:ilvl w:val="0"/>
          <w:numId w:val="2"/>
        </w:numPr>
        <w:spacing w:after="80"/>
      </w:pPr>
      <w:r>
        <w:t xml:space="preserve">Name (English) and Name (Kiswahili) — side by side. Kiswahili is optional; if you leave it blank, Kiswahili-language visitors simply see the English name until you fill it in.</w:t>
      </w:r>
    </w:p>
    <w:p>
      <w:pPr>
        <w:pStyle w:val="ListParagraph"/>
        <w:numPr>
          <w:ilvl w:val="0"/>
          <w:numId w:val="2"/>
        </w:numPr>
        <w:spacing w:after="80"/>
      </w:pPr>
      <w:r>
        <w:t xml:space="preserve">Category — chosen from your registered category list (see 4.2).</w:t>
      </w:r>
    </w:p>
    <w:p>
      <w:pPr>
        <w:pStyle w:val="ListParagraph"/>
        <w:numPr>
          <w:ilvl w:val="0"/>
          <w:numId w:val="2"/>
        </w:numPr>
        <w:spacing w:after="80"/>
      </w:pPr>
      <w:r>
        <w:t xml:space="preserve">Unit — chosen from your registered unit list (see 4.3). This is the product's default way of being sold (e.g. "Kilogram" or "Piece").</w:t>
      </w:r>
    </w:p>
    <w:p>
      <w:pPr>
        <w:pStyle w:val="ListParagraph"/>
        <w:numPr>
          <w:ilvl w:val="0"/>
          <w:numId w:val="2"/>
        </w:numPr>
        <w:spacing w:after="80"/>
      </w:pPr>
      <w:r>
        <w:t xml:space="preserve">Farm price and Market price — the two reference prices used for automatic trend tracking (see 4.5) and the customer-facing price.</w:t>
      </w:r>
    </w:p>
    <w:p>
      <w:pPr>
        <w:pStyle w:val="ListParagraph"/>
        <w:numPr>
          <w:ilvl w:val="0"/>
          <w:numId w:val="2"/>
        </w:numPr>
        <w:spacing w:after="80"/>
      </w:pPr>
      <w:r>
        <w:t xml:space="preserve">B2B price (optional) — a separate wholesale price for business buyers; if left blank, B2B buyers pay the normal market price.</w:t>
      </w:r>
    </w:p>
    <w:p>
      <w:pPr>
        <w:pStyle w:val="ListParagraph"/>
        <w:numPr>
          <w:ilvl w:val="0"/>
          <w:numId w:val="2"/>
        </w:numPr>
        <w:spacing w:after="80"/>
      </w:pPr>
      <w:r>
        <w:t xml:space="preserve">Minimum purchase quantity — the smallest amount a customer must order (e.g. set to 3 to stop someone ordering "1 kg" of something only sold in bulk).</w:t>
      </w:r>
    </w:p>
    <w:p>
      <w:pPr>
        <w:pStyle w:val="ListParagraph"/>
        <w:numPr>
          <w:ilvl w:val="0"/>
          <w:numId w:val="2"/>
        </w:numPr>
        <w:spacing w:after="80"/>
      </w:pPr>
      <w:r>
        <w:t xml:space="preserve">B2B minimum quantity — an additional, usually larger, minimum specifically for wholesale buyers.</w:t>
      </w:r>
    </w:p>
    <w:p>
      <w:pPr>
        <w:pStyle w:val="ListParagraph"/>
        <w:numPr>
          <w:ilvl w:val="0"/>
          <w:numId w:val="2"/>
        </w:numPr>
        <w:spacing w:after="80"/>
      </w:pPr>
      <w:r>
        <w:t xml:space="preserve">Image — uploaded and stored automatically; shows on the market page.</w:t>
      </w:r>
    </w:p>
    <w:p>
      <w:pPr>
        <w:pStyle w:val="ListParagraph"/>
        <w:numPr>
          <w:ilvl w:val="0"/>
          <w:numId w:val="2"/>
        </w:numPr>
        <w:spacing w:after="80"/>
      </w:pPr>
      <w:r>
        <w:t xml:space="preserve">Stock quantity.</w:t>
      </w:r>
    </w:p>
    <w:p>
      <w:pPr>
        <w:pStyle w:val="ListParagraph"/>
        <w:numPr>
          <w:ilvl w:val="0"/>
          <w:numId w:val="2"/>
        </w:numPr>
        <w:spacing w:after="80"/>
      </w:pPr>
      <w:r>
        <w:t xml:space="preserve">Trending — a checkbox. Checking it makes the product eligible to appear in the scrolling "Market Trend" ticker on the home and market pages (see 4.5).</w:t>
      </w:r>
    </w:p>
    <w:p>
      <w:pPr>
        <w:spacing w:after="160"/>
        <w:ind w:left="200"/>
      </w:pPr>
      <w:r>
        <w:rPr>
          <w:b/>
          <w:bCs/>
          <w:color w:val="1F6F4A"/>
        </w:rPr>
        <w:t xml:space="preserve">Note: </w:t>
      </w:r>
      <w:r>
        <w:t xml:space="preserve">There is no description field — product names alone are shown in the market to keep listings clean and quick to scan.</w:t>
      </w:r>
    </w:p>
    <w:p>
      <w:pPr>
        <w:pStyle w:val="Heading2"/>
        <w:spacing w:after="150" w:before="300"/>
      </w:pPr>
      <w:r>
        <w:t xml:space="preserve">4.2 Categories</w:t>
      </w:r>
    </w:p>
    <w:p>
      <w:pPr>
        <w:spacing w:after="160"/>
      </w:pPr>
      <w:r>
        <w:rPr>
          <w:b/>
          <w:bCs/>
        </w:rPr>
        <w:t xml:space="preserve">Admin Portal path: </w:t>
      </w:r>
      <w:r>
        <w:rPr>
          <w:i/>
          <w:iCs/>
          <w:color w:val="1F6F4A"/>
        </w:rPr>
        <w:t xml:space="preserve">Add/Edit Product page -&gt; "Registered categories" section</w:t>
      </w:r>
    </w:p>
    <w:p>
      <w:pPr>
        <w:spacing w:after="160"/>
      </w:pPr>
      <w:r>
        <w:rPr>
          <w:b w:val="false"/>
          <w:bCs w:val="false"/>
          <w:i w:val="false"/>
          <w:iCs w:val="false"/>
        </w:rPr>
        <w:t xml:space="preserve">Categories (Vegetables, Fruits, Grains, Fish, Meat, etc.) are a registered list, not free text — this keeps spelling and language consistent everywhere. From this section you can:</w:t>
      </w:r>
    </w:p>
    <w:p>
      <w:pPr>
        <w:pStyle w:val="ListParagraph"/>
        <w:numPr>
          <w:ilvl w:val="0"/>
          <w:numId w:val="2"/>
        </w:numPr>
        <w:spacing w:after="80"/>
      </w:pPr>
      <w:r>
        <w:t xml:space="preserve">Add a category — English name required, Kiswahili name optional, and a Scatter factor (explained below).</w:t>
      </w:r>
    </w:p>
    <w:p>
      <w:pPr>
        <w:pStyle w:val="ListParagraph"/>
        <w:numPr>
          <w:ilvl w:val="0"/>
          <w:numId w:val="2"/>
        </w:numPr>
        <w:spacing w:after="80"/>
      </w:pPr>
      <w:r>
        <w:t xml:space="preserve">Edit a category — click the pencil on its chip; you'll be asked for the English name, Kiswahili name, and scatter factor in turn.</w:t>
      </w:r>
    </w:p>
    <w:p>
      <w:pPr>
        <w:pStyle w:val="ListParagraph"/>
        <w:numPr>
          <w:ilvl w:val="0"/>
          <w:numId w:val="2"/>
        </w:numPr>
        <w:spacing w:after="80"/>
      </w:pPr>
      <w:r>
        <w:t xml:space="preserve">Delete a category — click the small "x" on its chip. Products already using a deleted category keep showing their stored category text; only the pick-list is affected.</w:t>
      </w:r>
    </w:p>
    <w:p>
      <w:pPr>
        <w:pStyle w:val="Heading3"/>
        <w:spacing w:after="100" w:before="200"/>
      </w:pPr>
      <w:r>
        <w:t xml:space="preserve">Scatter factor</w:t>
      </w:r>
    </w:p>
    <w:p>
      <w:pPr>
        <w:spacing w:after="160"/>
      </w:pPr>
      <w:r>
        <w:rPr>
          <w:b w:val="false"/>
          <w:bCs w:val="false"/>
          <w:i w:val="false"/>
          <w:iCs w:val="false"/>
        </w:rPr>
        <w:t xml:space="preserve">Each category has a "Scatter factor" (default 1.0), shown on its chip as e.g. "x1.5". This estimates how spread out that category's stalls typically are in a real market — some categories cluster in one spot (grains, fruits), others are scattered across many stalls (vegetables, root vegetables). This number only matters if you turn on the picking-fee diversity surcharge described in section 5.2 — until then, it has no effect on any price.</w:t>
      </w:r>
    </w:p>
    <w:p>
      <w:pPr>
        <w:pStyle w:val="Heading2"/>
        <w:spacing w:after="150" w:before="300"/>
      </w:pPr>
      <w:r>
        <w:t xml:space="preserve">4.3 Units of Measure</w:t>
      </w:r>
    </w:p>
    <w:p>
      <w:pPr>
        <w:spacing w:after="160"/>
      </w:pPr>
      <w:r>
        <w:rPr>
          <w:b/>
          <w:bCs/>
        </w:rPr>
        <w:t xml:space="preserve">Admin Portal path: </w:t>
      </w:r>
      <w:r>
        <w:rPr>
          <w:i/>
          <w:iCs/>
          <w:color w:val="1F6F4A"/>
        </w:rPr>
        <w:t xml:space="preserve">Add/Edit Product page -&gt; "Registered units" section, or a product's "Manage measures" page</w:t>
      </w:r>
    </w:p>
    <w:p>
      <w:pPr>
        <w:spacing w:after="160"/>
      </w:pPr>
      <w:r>
        <w:rPr>
          <w:b w:val="false"/>
          <w:bCs w:val="false"/>
          <w:i w:val="false"/>
          <w:iCs w:val="false"/>
        </w:rPr>
        <w:t xml:space="preserve">Units (kg, piece, bunch, bucket, sack, sadolin/tin, glass, 1/2 cup, and any more you register) work exactly like categories: a registered, bilingual list rather than free text. Currently registered:</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2200"/>
        <w:gridCol w:w="3600"/>
        <w:gridCol w:w="3600"/>
      </w:tblGrid>
      <w:tr>
        <w:tc>
          <w:tcPr>
            <w:tcW w:type="dxa" w:w="2200"/>
            <w:shd w:fill="1F6F4A" w:val="clear"/>
          </w:tcPr>
          <w:p>
            <w:r>
              <w:rPr>
                <w:b/>
                <w:bCs/>
                <w:color w:val="FFFFFF"/>
                <w:sz w:val="20"/>
                <w:szCs w:val="20"/>
              </w:rPr>
              <w:t xml:space="preserve">Key</w:t>
            </w:r>
          </w:p>
        </w:tc>
        <w:tc>
          <w:tcPr>
            <w:tcW w:type="dxa" w:w="3600"/>
            <w:shd w:fill="1F6F4A" w:val="clear"/>
          </w:tcPr>
          <w:p>
            <w:r>
              <w:rPr>
                <w:b/>
                <w:bCs/>
                <w:color w:val="FFFFFF"/>
                <w:sz w:val="20"/>
                <w:szCs w:val="20"/>
              </w:rPr>
              <w:t xml:space="preserve">English</w:t>
            </w:r>
          </w:p>
        </w:tc>
        <w:tc>
          <w:tcPr>
            <w:tcW w:type="dxa" w:w="3600"/>
            <w:shd w:fill="1F6F4A" w:val="clear"/>
          </w:tcPr>
          <w:p>
            <w:r>
              <w:rPr>
                <w:b/>
                <w:bCs/>
                <w:color w:val="FFFFFF"/>
                <w:sz w:val="20"/>
                <w:szCs w:val="20"/>
              </w:rPr>
              <w:t xml:space="preserve">Kiswahili</w:t>
            </w:r>
          </w:p>
        </w:tc>
      </w:tr>
      <w:tr>
        <w:tc>
          <w:tcPr>
            <w:tcW w:type="dxa" w:w="2200"/>
          </w:tcPr>
          <w:p>
            <w:r>
              <w:rPr>
                <w:b w:val="false"/>
                <w:bCs w:val="false"/>
                <w:color w:val="000000"/>
                <w:sz w:val="20"/>
                <w:szCs w:val="20"/>
              </w:rPr>
              <w:t xml:space="preserve">kg</w:t>
            </w:r>
          </w:p>
        </w:tc>
        <w:tc>
          <w:tcPr>
            <w:tcW w:type="dxa" w:w="3600"/>
          </w:tcPr>
          <w:p>
            <w:r>
              <w:rPr>
                <w:b w:val="false"/>
                <w:bCs w:val="false"/>
                <w:color w:val="000000"/>
                <w:sz w:val="20"/>
                <w:szCs w:val="20"/>
              </w:rPr>
              <w:t xml:space="preserve">Kilogram</w:t>
            </w:r>
          </w:p>
        </w:tc>
        <w:tc>
          <w:tcPr>
            <w:tcW w:type="dxa" w:w="3600"/>
          </w:tcPr>
          <w:p>
            <w:r>
              <w:rPr>
                <w:b w:val="false"/>
                <w:bCs w:val="false"/>
                <w:color w:val="000000"/>
                <w:sz w:val="20"/>
                <w:szCs w:val="20"/>
              </w:rPr>
              <w:t xml:space="preserve">Kilo</w:t>
            </w:r>
          </w:p>
        </w:tc>
      </w:tr>
      <w:tr>
        <w:tc>
          <w:tcPr>
            <w:tcW w:type="dxa" w:w="2200"/>
          </w:tcPr>
          <w:p>
            <w:r>
              <w:rPr>
                <w:b w:val="false"/>
                <w:bCs w:val="false"/>
                <w:color w:val="000000"/>
                <w:sz w:val="20"/>
                <w:szCs w:val="20"/>
              </w:rPr>
              <w:t xml:space="preserve">piece</w:t>
            </w:r>
          </w:p>
        </w:tc>
        <w:tc>
          <w:tcPr>
            <w:tcW w:type="dxa" w:w="3600"/>
          </w:tcPr>
          <w:p>
            <w:r>
              <w:rPr>
                <w:b w:val="false"/>
                <w:bCs w:val="false"/>
                <w:color w:val="000000"/>
                <w:sz w:val="20"/>
                <w:szCs w:val="20"/>
              </w:rPr>
              <w:t xml:space="preserve">Piece</w:t>
            </w:r>
          </w:p>
        </w:tc>
        <w:tc>
          <w:tcPr>
            <w:tcW w:type="dxa" w:w="3600"/>
          </w:tcPr>
          <w:p>
            <w:r>
              <w:rPr>
                <w:b w:val="false"/>
                <w:bCs w:val="false"/>
                <w:color w:val="000000"/>
                <w:sz w:val="20"/>
                <w:szCs w:val="20"/>
              </w:rPr>
              <w:t xml:space="preserve">Moja</w:t>
            </w:r>
          </w:p>
        </w:tc>
      </w:tr>
      <w:tr>
        <w:tc>
          <w:tcPr>
            <w:tcW w:type="dxa" w:w="2200"/>
          </w:tcPr>
          <w:p>
            <w:r>
              <w:rPr>
                <w:b w:val="false"/>
                <w:bCs w:val="false"/>
                <w:color w:val="000000"/>
                <w:sz w:val="20"/>
                <w:szCs w:val="20"/>
              </w:rPr>
              <w:t xml:space="preserve">bunch</w:t>
            </w:r>
          </w:p>
        </w:tc>
        <w:tc>
          <w:tcPr>
            <w:tcW w:type="dxa" w:w="3600"/>
          </w:tcPr>
          <w:p>
            <w:r>
              <w:rPr>
                <w:b w:val="false"/>
                <w:bCs w:val="false"/>
                <w:color w:val="000000"/>
                <w:sz w:val="20"/>
                <w:szCs w:val="20"/>
              </w:rPr>
              <w:t xml:space="preserve">Bunch</w:t>
            </w:r>
          </w:p>
        </w:tc>
        <w:tc>
          <w:tcPr>
            <w:tcW w:type="dxa" w:w="3600"/>
          </w:tcPr>
          <w:p>
            <w:r>
              <w:rPr>
                <w:b w:val="false"/>
                <w:bCs w:val="false"/>
                <w:color w:val="000000"/>
                <w:sz w:val="20"/>
                <w:szCs w:val="20"/>
              </w:rPr>
              <w:t xml:space="preserve">Fungu</w:t>
            </w:r>
          </w:p>
        </w:tc>
      </w:tr>
      <w:tr>
        <w:tc>
          <w:tcPr>
            <w:tcW w:type="dxa" w:w="2200"/>
          </w:tcPr>
          <w:p>
            <w:r>
              <w:rPr>
                <w:b w:val="false"/>
                <w:bCs w:val="false"/>
                <w:color w:val="000000"/>
                <w:sz w:val="20"/>
                <w:szCs w:val="20"/>
              </w:rPr>
              <w:t xml:space="preserve">sadolin</w:t>
            </w:r>
          </w:p>
        </w:tc>
        <w:tc>
          <w:tcPr>
            <w:tcW w:type="dxa" w:w="3600"/>
          </w:tcPr>
          <w:p>
            <w:r>
              <w:rPr>
                <w:b w:val="false"/>
                <w:bCs w:val="false"/>
                <w:color w:val="000000"/>
                <w:sz w:val="20"/>
                <w:szCs w:val="20"/>
              </w:rPr>
              <w:t xml:space="preserve">Sadolin (tin)</w:t>
            </w:r>
          </w:p>
        </w:tc>
        <w:tc>
          <w:tcPr>
            <w:tcW w:type="dxa" w:w="3600"/>
          </w:tcPr>
          <w:p>
            <w:r>
              <w:rPr>
                <w:b w:val="false"/>
                <w:bCs w:val="false"/>
                <w:color w:val="000000"/>
                <w:sz w:val="20"/>
                <w:szCs w:val="20"/>
              </w:rPr>
              <w:t xml:space="preserve">Sado</w:t>
            </w:r>
          </w:p>
        </w:tc>
      </w:tr>
      <w:tr>
        <w:tc>
          <w:tcPr>
            <w:tcW w:type="dxa" w:w="2200"/>
          </w:tcPr>
          <w:p>
            <w:r>
              <w:rPr>
                <w:b w:val="false"/>
                <w:bCs w:val="false"/>
                <w:color w:val="000000"/>
                <w:sz w:val="20"/>
                <w:szCs w:val="20"/>
              </w:rPr>
              <w:t xml:space="preserve">bucket</w:t>
            </w:r>
          </w:p>
        </w:tc>
        <w:tc>
          <w:tcPr>
            <w:tcW w:type="dxa" w:w="3600"/>
          </w:tcPr>
          <w:p>
            <w:r>
              <w:rPr>
                <w:b w:val="false"/>
                <w:bCs w:val="false"/>
                <w:color w:val="000000"/>
                <w:sz w:val="20"/>
                <w:szCs w:val="20"/>
              </w:rPr>
              <w:t xml:space="preserve">Bucket</w:t>
            </w:r>
          </w:p>
        </w:tc>
        <w:tc>
          <w:tcPr>
            <w:tcW w:type="dxa" w:w="3600"/>
          </w:tcPr>
          <w:p>
            <w:r>
              <w:rPr>
                <w:b w:val="false"/>
                <w:bCs w:val="false"/>
                <w:color w:val="000000"/>
                <w:sz w:val="20"/>
                <w:szCs w:val="20"/>
              </w:rPr>
              <w:t xml:space="preserve">Ndoo</w:t>
            </w:r>
          </w:p>
        </w:tc>
      </w:tr>
      <w:tr>
        <w:tc>
          <w:tcPr>
            <w:tcW w:type="dxa" w:w="2200"/>
          </w:tcPr>
          <w:p>
            <w:r>
              <w:rPr>
                <w:b w:val="false"/>
                <w:bCs w:val="false"/>
                <w:color w:val="000000"/>
                <w:sz w:val="20"/>
                <w:szCs w:val="20"/>
              </w:rPr>
              <w:t xml:space="preserve">half_cup</w:t>
            </w:r>
          </w:p>
        </w:tc>
        <w:tc>
          <w:tcPr>
            <w:tcW w:type="dxa" w:w="3600"/>
          </w:tcPr>
          <w:p>
            <w:r>
              <w:rPr>
                <w:b w:val="false"/>
                <w:bCs w:val="false"/>
                <w:color w:val="000000"/>
                <w:sz w:val="20"/>
                <w:szCs w:val="20"/>
              </w:rPr>
              <w:t xml:space="preserve">1/2 Cup</w:t>
            </w:r>
          </w:p>
        </w:tc>
        <w:tc>
          <w:tcPr>
            <w:tcW w:type="dxa" w:w="3600"/>
          </w:tcPr>
          <w:p>
            <w:r>
              <w:rPr>
                <w:b w:val="false"/>
                <w:bCs w:val="false"/>
                <w:color w:val="000000"/>
                <w:sz w:val="20"/>
                <w:szCs w:val="20"/>
              </w:rPr>
              <w:t xml:space="preserve">Nusu Kikombe</w:t>
            </w:r>
          </w:p>
        </w:tc>
      </w:tr>
      <w:tr>
        <w:tc>
          <w:tcPr>
            <w:tcW w:type="dxa" w:w="2200"/>
          </w:tcPr>
          <w:p>
            <w:r>
              <w:rPr>
                <w:b w:val="false"/>
                <w:bCs w:val="false"/>
                <w:color w:val="000000"/>
                <w:sz w:val="20"/>
                <w:szCs w:val="20"/>
              </w:rPr>
              <w:t xml:space="preserve">glass</w:t>
            </w:r>
          </w:p>
        </w:tc>
        <w:tc>
          <w:tcPr>
            <w:tcW w:type="dxa" w:w="3600"/>
          </w:tcPr>
          <w:p>
            <w:r>
              <w:rPr>
                <w:b w:val="false"/>
                <w:bCs w:val="false"/>
                <w:color w:val="000000"/>
                <w:sz w:val="20"/>
                <w:szCs w:val="20"/>
              </w:rPr>
              <w:t xml:space="preserve">Glass</w:t>
            </w:r>
          </w:p>
        </w:tc>
        <w:tc>
          <w:tcPr>
            <w:tcW w:type="dxa" w:w="3600"/>
          </w:tcPr>
          <w:p>
            <w:r>
              <w:rPr>
                <w:b w:val="false"/>
                <w:bCs w:val="false"/>
                <w:color w:val="000000"/>
                <w:sz w:val="20"/>
                <w:szCs w:val="20"/>
              </w:rPr>
              <w:t xml:space="preserve">Glasi</w:t>
            </w:r>
          </w:p>
        </w:tc>
      </w:tr>
      <w:tr>
        <w:tc>
          <w:tcPr>
            <w:tcW w:type="dxa" w:w="2200"/>
          </w:tcPr>
          <w:p>
            <w:r>
              <w:rPr>
                <w:b w:val="false"/>
                <w:bCs w:val="false"/>
                <w:color w:val="000000"/>
                <w:sz w:val="20"/>
                <w:szCs w:val="20"/>
              </w:rPr>
              <w:t xml:space="preserve">sack</w:t>
            </w:r>
          </w:p>
        </w:tc>
        <w:tc>
          <w:tcPr>
            <w:tcW w:type="dxa" w:w="3600"/>
          </w:tcPr>
          <w:p>
            <w:r>
              <w:rPr>
                <w:b w:val="false"/>
                <w:bCs w:val="false"/>
                <w:color w:val="000000"/>
                <w:sz w:val="20"/>
                <w:szCs w:val="20"/>
              </w:rPr>
              <w:t xml:space="preserve">Sack</w:t>
            </w:r>
          </w:p>
        </w:tc>
        <w:tc>
          <w:tcPr>
            <w:tcW w:type="dxa" w:w="3600"/>
          </w:tcPr>
          <w:p>
            <w:r>
              <w:rPr>
                <w:b w:val="false"/>
                <w:bCs w:val="false"/>
                <w:color w:val="000000"/>
                <w:sz w:val="20"/>
                <w:szCs w:val="20"/>
              </w:rPr>
              <w:t xml:space="preserve">Gunia</w:t>
            </w:r>
          </w:p>
        </w:tc>
      </w:tr>
    </w:tbl>
    <w:p>
      <w:pPr>
        <w:spacing w:after="160"/>
      </w:pPr>
      <w:r>
        <w:rPr>
          <w:b w:val="false"/>
          <w:bCs w:val="false"/>
          <w:i w:val="false"/>
          <w:iCs w:val="false"/>
        </w:rPr>
        <w:t xml:space="preserve"/>
      </w:r>
    </w:p>
    <w:p>
      <w:pPr>
        <w:spacing w:after="160"/>
      </w:pPr>
      <w:r>
        <w:rPr>
          <w:b w:val="false"/>
          <w:bCs w:val="false"/>
          <w:i w:val="false"/>
          <w:iCs w:val="false"/>
        </w:rPr>
        <w:t xml:space="preserve">You can register a new unit any time (e.g. "Crate") right from the Add/Edit Product page or a product's measures page — it becomes available everywhere immediately, in both languages.</w:t>
      </w:r>
    </w:p>
    <w:p>
      <w:pPr>
        <w:pStyle w:val="Heading3"/>
        <w:spacing w:after="100" w:before="200"/>
      </w:pPr>
      <w:r>
        <w:t xml:space="preserve">Per-product measures</w:t>
      </w:r>
    </w:p>
    <w:p>
      <w:pPr>
        <w:spacing w:after="160"/>
      </w:pPr>
      <w:r>
        <w:rPr>
          <w:b w:val="false"/>
          <w:bCs w:val="false"/>
          <w:i w:val="false"/>
          <w:iCs w:val="false"/>
        </w:rPr>
        <w:t xml:space="preserve">Beyond a product's single default unit, you can offer it in extra measures — e.g. a product normally priced per kg can also be offered by the bucket or sack, each with its own price and a kg-equivalent (used only to estimate weight for the picking fee, never shown to the customer). Open "Manage measures" from a product's edit page, tick which measures to offer, set each one's price and kg-equivalent, and optionally mark one as the default pre-selected option. A measure can be switched off later without affecting any past order that already used it.</w:t>
      </w:r>
    </w:p>
    <w:p>
      <w:pPr>
        <w:pStyle w:val="Heading2"/>
        <w:spacing w:after="150" w:before="300"/>
      </w:pPr>
      <w:r>
        <w:t xml:space="preserve">4.4 Deleting or Restoring a Product</w:t>
      </w:r>
    </w:p>
    <w:p>
      <w:pPr>
        <w:spacing w:after="160"/>
      </w:pPr>
      <w:r>
        <w:rPr>
          <w:b w:val="false"/>
          <w:bCs w:val="false"/>
          <w:i w:val="false"/>
          <w:iCs w:val="false"/>
        </w:rPr>
        <w:t xml:space="preserve">Deleting a product from the catalog list gives you two outcomes automatically:</w:t>
      </w:r>
    </w:p>
    <w:p>
      <w:pPr>
        <w:pStyle w:val="ListParagraph"/>
        <w:numPr>
          <w:ilvl w:val="0"/>
          <w:numId w:val="2"/>
        </w:numPr>
        <w:spacing w:after="80"/>
      </w:pPr>
      <w:r>
        <w:t xml:space="preserve">If the product has never been ordered — it is permanently removed.</w:t>
      </w:r>
    </w:p>
    <w:p>
      <w:pPr>
        <w:pStyle w:val="ListParagraph"/>
        <w:numPr>
          <w:ilvl w:val="0"/>
          <w:numId w:val="2"/>
        </w:numPr>
        <w:spacing w:after="80"/>
      </w:pPr>
      <w:r>
        <w:t xml:space="preserve">If it has order history — it is soft-deleted (hidden from the market, kept in the database) so historical orders still display correctly. A "Restore" option brings it back.</w:t>
      </w:r>
    </w:p>
    <w:p>
      <w:pPr>
        <w:pStyle w:val="Heading2"/>
        <w:spacing w:after="150" w:before="300"/>
      </w:pPr>
      <w:r>
        <w:t xml:space="preserve">4.5 Regional Price Trends and the Market Trend Ticker</w:t>
      </w:r>
    </w:p>
    <w:p>
      <w:pPr>
        <w:spacing w:after="160"/>
      </w:pPr>
      <w:r>
        <w:rPr>
          <w:b/>
          <w:bCs/>
        </w:rPr>
        <w:t xml:space="preserve">Admin Portal path: </w:t>
      </w:r>
      <w:r>
        <w:rPr>
          <w:i/>
          <w:iCs/>
          <w:color w:val="1F6F4A"/>
        </w:rPr>
        <w:t xml:space="preserve">Admin Portal -&gt; Regional Price Trends</w:t>
      </w:r>
    </w:p>
    <w:p>
      <w:pPr>
        <w:spacing w:after="160"/>
      </w:pPr>
      <w:r>
        <w:rPr>
          <w:b w:val="false"/>
          <w:bCs w:val="false"/>
          <w:i w:val="false"/>
          <w:iCs w:val="false"/>
        </w:rPr>
        <w:t xml:space="preserve">Record a farm price and market price for a product in a specific Tanzanian region whenever you have a real, current figure. The system automatically compares each new entry to the previous one for that product+region and computes a real percentage change and up/down direction — you never type a percentage yourself.</w:t>
      </w:r>
    </w:p>
    <w:p>
      <w:pPr>
        <w:spacing w:after="160"/>
      </w:pPr>
      <w:r>
        <w:rPr>
          <w:b w:val="false"/>
          <w:bCs w:val="false"/>
          <w:i w:val="false"/>
          <w:iCs w:val="false"/>
        </w:rPr>
        <w:t xml:space="preserve">The scrolling "Market Trend" ticker on the home page and market page shows every product flagged "Trending" (see 4.1), with its live percentage change if enough price history exists yet, or just its name and price if not. If the ticker looks empty, check that at least one product has the Trending checkbox turned on.</w:t>
      </w:r>
    </w:p>
    <w:p>
      <w:pPr>
        <w:pStyle w:val="Heading1"/>
        <w:spacing w:after="200" w:before="400"/>
      </w:pPr>
      <w:r>
        <w:t xml:space="preserve">5. Fee Settings</w:t>
      </w:r>
    </w:p>
    <w:p>
      <w:pPr>
        <w:spacing w:after="160"/>
      </w:pPr>
      <w:r>
        <w:rPr>
          <w:b/>
          <w:bCs/>
        </w:rPr>
        <w:t xml:space="preserve">Admin Portal path: </w:t>
      </w:r>
      <w:r>
        <w:rPr>
          <w:i/>
          <w:iCs/>
          <w:color w:val="1F6F4A"/>
        </w:rPr>
        <w:t xml:space="preserve">Admin Portal -&gt; Fee Settings</w:t>
      </w:r>
    </w:p>
    <w:p>
      <w:pPr>
        <w:spacing w:after="160"/>
      </w:pPr>
      <w:r>
        <w:rPr>
          <w:b w:val="false"/>
          <w:bCs w:val="false"/>
          <w:i w:val="false"/>
          <w:iCs w:val="false"/>
        </w:rPr>
        <w:t xml:space="preserve">Every delivery is priced from four independent components, all admin-controlled here: Delivery fee, Picking fee, Package fee, and (for quick/same-day orders) a surcharge. A Platform Commission percentage also lives on this page.</w:t>
      </w:r>
    </w:p>
    <w:p>
      <w:pPr>
        <w:pStyle w:val="Heading2"/>
        <w:spacing w:after="150" w:before="300"/>
      </w:pPr>
      <w:r>
        <w:t xml:space="preserve">5.1 Delivery Fee</w:t>
      </w:r>
    </w:p>
    <w:p>
      <w:pPr>
        <w:spacing w:after="160"/>
      </w:pPr>
      <w:r>
        <w:rPr>
          <w:b w:val="false"/>
          <w:bCs w:val="false"/>
          <w:i w:val="false"/>
          <w:iCs w:val="false"/>
        </w:rPr>
        <w:t xml:space="preserve">A straightforward per-kilometre rate, calculated over the real driving route (not a straight line) from the picker's market to the customer's address. Set separately for B2C (motorcycle/car/bicycle pickers) and B2B (trucks, which also add their truck type's own base rate — see section 7).</w:t>
      </w:r>
    </w:p>
    <w:p>
      <w:pPr>
        <w:pStyle w:val="Heading2"/>
        <w:spacing w:after="150" w:before="300"/>
      </w:pPr>
      <w:r>
        <w:t xml:space="preserve">5.2 Picking Fee</w:t>
      </w:r>
    </w:p>
    <w:p>
      <w:pPr>
        <w:spacing w:after="160"/>
      </w:pPr>
      <w:r>
        <w:rPr>
          <w:b w:val="false"/>
          <w:bCs w:val="false"/>
          <w:i w:val="false"/>
          <w:iCs w:val="false"/>
        </w:rPr>
        <w:t xml:space="preserve">Compensates the picker for the time and effort of shopping for the order. It has two parts:</w:t>
      </w:r>
    </w:p>
    <w:p>
      <w:pPr>
        <w:pStyle w:val="Heading3"/>
        <w:spacing w:after="100" w:before="200"/>
      </w:pPr>
      <w:r>
        <w:t xml:space="preserve">Weight tiers (always active)</w:t>
      </w:r>
    </w:p>
    <w:p>
      <w:pPr>
        <w:spacing w:after="160"/>
      </w:pPr>
      <w:r>
        <w:rPr>
          <w:b w:val="false"/>
          <w:bCs w:val="false"/>
          <w:i w:val="false"/>
          <w:iCs w:val="false"/>
        </w:rPr>
        <w:t xml:space="preserve">Four tiers by total order weight — up to tier 1's kg limit costs a fixed fee, up to tier 2's limit costs more, and so on, with a flat fee for anything above tier 3. Set each tier's weight limit and its fee.</w:t>
      </w:r>
    </w:p>
    <w:p>
      <w:pPr>
        <w:pStyle w:val="Heading3"/>
        <w:spacing w:after="100" w:before="200"/>
      </w:pPr>
      <w:r>
        <w:t xml:space="preserve">Extra distinct item fee, per category (opt-in, off by default)</w:t>
      </w:r>
    </w:p>
    <w:p>
      <w:pPr>
        <w:spacing w:after="160"/>
      </w:pPr>
      <w:r>
        <w:rPr>
          <w:b w:val="false"/>
          <w:bCs w:val="false"/>
          <w:i w:val="false"/>
          <w:iCs w:val="false"/>
        </w:rPr>
        <w:t xml:space="preserve">The weight tiers alone treat "50 kg of one item" the same as "50 kg spread across many different items" — but a picker gathering many different items, especially from a category whose stalls are scattered across the market, genuinely covers more ground. This field lets you charge for that:</w:t>
      </w:r>
    </w:p>
    <w:p>
      <w:pPr>
        <w:pStyle w:val="ListParagraph"/>
        <w:numPr>
          <w:ilvl w:val="0"/>
          <w:numId w:val="3"/>
        </w:numPr>
        <w:spacing w:after="80"/>
      </w:pPr>
      <w:r>
        <w:t xml:space="preserve">Set "Extra distinct item fee, per category" above 0 (e.g. 300 TSh). This is the charge for every item beyond the first one within the same category — the 1st item in any category is always free of this charge.</w:t>
      </w:r>
    </w:p>
    <w:p>
      <w:pPr>
        <w:pStyle w:val="ListParagraph"/>
        <w:numPr>
          <w:ilvl w:val="0"/>
          <w:numId w:val="3"/>
        </w:numPr>
        <w:spacing w:after="80"/>
      </w:pPr>
      <w:r>
        <w:t xml:space="preserve">Set each category's Scatter factor (section 4.2) — 1.0 for categories that cluster in one market area, higher (e.g. 1.5) for scattered ones like vegetables.</w:t>
      </w:r>
    </w:p>
    <w:p>
      <w:pPr>
        <w:pStyle w:val="ListParagraph"/>
        <w:numPr>
          <w:ilvl w:val="0"/>
          <w:numId w:val="3"/>
        </w:numPr>
        <w:spacing w:after="80"/>
      </w:pPr>
      <w:r>
        <w:t xml:space="preserve">The surcharge for a category = (distinct items in that category - 1) x your fee x that category's scatter factor. This is added on top of the weight-tier fee.</w:t>
      </w:r>
    </w:p>
    <w:p>
      <w:pPr>
        <w:spacing w:after="160"/>
      </w:pPr>
      <w:r>
        <w:rPr>
          <w:b w:val="false"/>
          <w:bCs w:val="false"/>
          <w:i w:val="false"/>
          <w:iCs w:val="false"/>
        </w:rPr>
        <w:t xml:space="preserve">Worked example, with the fee set to 300 TSh and Vegetables at scatter 1.5:</w:t>
      </w:r>
    </w:p>
    <w:p>
      <w:pPr>
        <w:pStyle w:val="ListParagraph"/>
        <w:numPr>
          <w:ilvl w:val="0"/>
          <w:numId w:val="2"/>
        </w:numPr>
        <w:spacing w:after="80"/>
      </w:pPr>
      <w:r>
        <w:t xml:space="preserve">50 kg of one item (any category): no surcharge — only one distinct item.</w:t>
      </w:r>
    </w:p>
    <w:p>
      <w:pPr>
        <w:pStyle w:val="ListParagraph"/>
        <w:numPr>
          <w:ilvl w:val="0"/>
          <w:numId w:val="2"/>
        </w:numPr>
        <w:spacing w:after="80"/>
      </w:pPr>
      <w:r>
        <w:t xml:space="preserve">50 kg across 6 different vegetables: (6-1) x 300 x 1.5 = 2,250 TSh added on top of the weight tier.</w:t>
      </w:r>
    </w:p>
    <w:p>
      <w:pPr>
        <w:pStyle w:val="ListParagraph"/>
        <w:numPr>
          <w:ilvl w:val="0"/>
          <w:numId w:val="2"/>
        </w:numPr>
        <w:spacing w:after="80"/>
      </w:pPr>
      <w:r>
        <w:t xml:space="preserve">50 kg across 6 different grains (scatter 1.0, since grains cluster in one area): (6-1) x 300 x 1.0 = 1,500 TSh — cheaper than the vegetables case, correctly, since grains need less roaming.</w:t>
      </w:r>
    </w:p>
    <w:p>
      <w:pPr>
        <w:pStyle w:val="ListParagraph"/>
        <w:numPr>
          <w:ilvl w:val="0"/>
          <w:numId w:val="2"/>
        </w:numPr>
        <w:spacing w:after="80"/>
      </w:pPr>
      <w:r>
        <w:t xml:space="preserve">One item each from 5 different categories: no category has more than one distinct item, so no surcharge at all, regardless of how many categories are involved.</w:t>
      </w:r>
    </w:p>
    <w:p>
      <w:pPr>
        <w:spacing w:after="160"/>
        <w:ind w:left="200"/>
      </w:pPr>
      <w:r>
        <w:rPr>
          <w:b/>
          <w:bCs/>
          <w:color w:val="1F6F4A"/>
        </w:rPr>
        <w:t xml:space="preserve">Note: </w:t>
      </w:r>
      <w:r>
        <w:t xml:space="preserve">This field defaults to 0 (off). Leaving it at 0 means every order prices exactly as it always has — turning it on is a deliberate choice, not something that happens automatically on an update.</w:t>
      </w:r>
    </w:p>
    <w:p>
      <w:pPr>
        <w:pStyle w:val="Heading2"/>
        <w:spacing w:after="150" w:before="300"/>
      </w:pPr>
      <w:r>
        <w:t xml:space="preserve">5.3 Package Fee</w:t>
      </w:r>
    </w:p>
    <w:p>
      <w:pPr>
        <w:spacing w:after="160"/>
      </w:pPr>
      <w:r>
        <w:rPr>
          <w:b w:val="false"/>
          <w:bCs w:val="false"/>
          <w:i w:val="false"/>
          <w:iCs w:val="false"/>
        </w:rPr>
        <w:t xml:space="preserve">Covers the cost of the bag/box/wrapping the order is packed in ("Ada ya mfuko" in Kiswahili). Tiered by weight or item quantity, whichever tier is larger applies — Small, Medium, and Large/flat. Set each tier's kg limit, item-count limit, and fee.</w:t>
      </w:r>
    </w:p>
    <w:p>
      <w:pPr>
        <w:spacing w:after="160"/>
        <w:ind w:left="200"/>
      </w:pPr>
      <w:r>
        <w:rPr>
          <w:b/>
          <w:bCs/>
          <w:color w:val="1F6F4A"/>
        </w:rPr>
        <w:t xml:space="preserve">Note: </w:t>
      </w:r>
      <w:r>
        <w:t xml:space="preserve">Set all three package fee tiers to 0 and the package-fee line, and its explanation, disappear entirely from checkout, order pages, the picker's view, and the AI chat — everywhere — automatically. No separate on/off switch is needed; 0 is the off switch.</w:t>
      </w:r>
    </w:p>
    <w:p>
      <w:pPr>
        <w:pStyle w:val="Heading2"/>
        <w:spacing w:after="150" w:before="300"/>
      </w:pPr>
      <w:r>
        <w:t xml:space="preserve">5.4 Quick Delivery Surcharge</w:t>
      </w:r>
    </w:p>
    <w:p>
      <w:pPr>
        <w:spacing w:after="160"/>
      </w:pPr>
      <w:r>
        <w:rPr>
          <w:b w:val="false"/>
          <w:bCs w:val="false"/>
          <w:i w:val="false"/>
          <w:iCs w:val="false"/>
        </w:rPr>
        <w:t xml:space="preserve">A customer can skip the normal delivery-day schedule (section 6.2) and request same-day delivery instead, picking either "Now" or a specific remaining time slot today. This percentage increases only the delivery fee (never the picking fee) to cover the rush.</w:t>
      </w:r>
    </w:p>
    <w:p>
      <w:pPr>
        <w:pStyle w:val="Heading2"/>
        <w:spacing w:after="150" w:before="300"/>
      </w:pPr>
      <w:r>
        <w:t xml:space="preserve">5.5 Platform Commission</w:t>
      </w:r>
    </w:p>
    <w:p>
      <w:pPr>
        <w:spacing w:after="160"/>
      </w:pPr>
      <w:r>
        <w:rPr>
          <w:b w:val="false"/>
          <w:bCs w:val="false"/>
          <w:i w:val="false"/>
          <w:iCs w:val="false"/>
        </w:rPr>
        <w:t xml:space="preserve">The share of each delivery's combined delivery + picking fee that PickkerMarket keeps; the remainder is the picker's earnings, shown on the Financial Dashboard and Picker Payouts pages. Set to 0 and pickers keep 100% of every delivery. Changing this only affects earnings going forward — past payouts are never recalculated.</w:t>
      </w:r>
    </w:p>
    <w:p>
      <w:pPr>
        <w:pStyle w:val="Heading1"/>
        <w:spacing w:after="200" w:before="400"/>
      </w:pPr>
      <w:r>
        <w:t xml:space="preserve">6. Picker Settings</w:t>
      </w:r>
    </w:p>
    <w:p>
      <w:pPr>
        <w:spacing w:after="160"/>
      </w:pPr>
      <w:r>
        <w:rPr>
          <w:b/>
          <w:bCs/>
        </w:rPr>
        <w:t xml:space="preserve">Admin Portal path: </w:t>
      </w:r>
      <w:r>
        <w:rPr>
          <w:i/>
          <w:iCs/>
          <w:color w:val="1F6F4A"/>
        </w:rPr>
        <w:t xml:space="preserve">Admin Portal -&gt; Picker Settings</w:t>
      </w:r>
    </w:p>
    <w:p>
      <w:pPr>
        <w:spacing w:after="160"/>
      </w:pPr>
      <w:r>
        <w:rPr>
          <w:b w:val="false"/>
          <w:bCs w:val="false"/>
          <w:i w:val="false"/>
          <w:iCs w:val="false"/>
        </w:rPr>
        <w:t xml:space="preserve">Picker availability is always automatic — there is no manual "available/unavailable" toggle anywhere. A picker becomes unavailable for new orders only when they hit one of the limits below, or while actively out delivering a same-day (quick) order; being mid-delivery on a scheduled order never blocks them from a new one, since they can swing back to their market first.</w:t>
      </w:r>
    </w:p>
    <w:p>
      <w:pPr>
        <w:pStyle w:val="Heading2"/>
        <w:spacing w:after="150" w:before="300"/>
      </w:pPr>
      <w:r>
        <w:t xml:space="preserve">6.1 Maximum Orders Per Day</w:t>
      </w:r>
    </w:p>
    <w:p>
      <w:pPr>
        <w:spacing w:after="160"/>
      </w:pPr>
      <w:r>
        <w:rPr>
          <w:b w:val="false"/>
          <w:bCs w:val="false"/>
          <w:i w:val="false"/>
          <w:iCs w:val="false"/>
        </w:rPr>
        <w:t xml:space="preserve">Two separate caps: one for B2C pickers (motorcycle/car/bicycle) and one for B2B pickers (trucks). Trucks realistically handle far fewer, bigger jobs per day, so the two are intentionally independent.</w:t>
      </w:r>
    </w:p>
    <w:p>
      <w:pPr>
        <w:pStyle w:val="Heading2"/>
        <w:spacing w:after="150" w:before="300"/>
      </w:pPr>
      <w:r>
        <w:t xml:space="preserve">6.2 Delivery Days</w:t>
      </w:r>
    </w:p>
    <w:p>
      <w:pPr>
        <w:spacing w:after="160"/>
      </w:pPr>
      <w:r>
        <w:rPr>
          <w:b w:val="false"/>
          <w:bCs w:val="false"/>
          <w:i w:val="false"/>
          <w:iCs w:val="false"/>
        </w:rPr>
        <w:t xml:space="preserve">A row of day-of-week checkboxes controls which weekdays scheduled (non-quick) deliveries run on — this used to be fixed in the code to Monday/Wednesday/Saturday; it is now entirely your choice. Check whichever days you want, save, and the change applies immediately everywhere: the checkout date picker, the "Deliveries run on..." explanation text (in both languages), and the AI chat assistant's own scheduling logic. At least one day must stay checked.</w:t>
      </w:r>
    </w:p>
    <w:p>
      <w:pPr>
        <w:pStyle w:val="Heading1"/>
        <w:spacing w:after="200" w:before="400"/>
      </w:pPr>
      <w:r>
        <w:t xml:space="preserve">7. B2B and Truck Types</w:t>
      </w:r>
    </w:p>
    <w:p>
      <w:pPr>
        <w:spacing w:after="160"/>
      </w:pPr>
      <w:r>
        <w:rPr>
          <w:b/>
          <w:bCs/>
        </w:rPr>
        <w:t xml:space="preserve">Admin Portal path: </w:t>
      </w:r>
      <w:r>
        <w:rPr>
          <w:i/>
          <w:iCs/>
          <w:color w:val="1F6F4A"/>
        </w:rPr>
        <w:t xml:space="preserve">Admin Portal -&gt; Truck Types, and Admin Portal -&gt; Users -&gt; Register B2B Picker</w:t>
      </w:r>
    </w:p>
    <w:p>
      <w:pPr>
        <w:spacing w:after="160"/>
      </w:pPr>
      <w:r>
        <w:rPr>
          <w:b w:val="false"/>
          <w:bCs w:val="false"/>
          <w:i w:val="false"/>
          <w:iCs w:val="false"/>
        </w:rPr>
        <w:t xml:space="preserve">B2B (business/wholesale) customers get a different delivery experience: instead of picking an individual picker, they choose a truck type sized to their order's weight, and the nearest available truck picker is assigned automatically.</w:t>
      </w:r>
    </w:p>
    <w:p>
      <w:pPr>
        <w:pStyle w:val="Heading2"/>
        <w:spacing w:after="150" w:before="300"/>
      </w:pPr>
      <w:r>
        <w:t xml:space="preserve">7.1 Truck Types</w:t>
      </w:r>
    </w:p>
    <w:p>
      <w:pPr>
        <w:spacing w:after="160"/>
      </w:pPr>
      <w:r>
        <w:rPr>
          <w:b w:val="false"/>
          <w:bCs w:val="false"/>
          <w:i w:val="false"/>
          <w:iCs w:val="false"/>
        </w:rPr>
        <w:t xml:space="preserve">An open, admin-managed catalog — add as many as you need. Each has a name, a capacity label (free text, e.g. "up to 3 m3"), a maximum weight it can carry (used to filter out trucks too small for a given order), a base rate (added to the per-km B2B delivery fee), and an icon. Currently registered:</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2600"/>
        <w:gridCol w:w="2800"/>
        <w:gridCol w:w="2200"/>
        <w:gridCol w:w="1800"/>
      </w:tblGrid>
      <w:tr>
        <w:tc>
          <w:tcPr>
            <w:tcW w:type="dxa" w:w="2600"/>
            <w:shd w:fill="1F6F4A" w:val="clear"/>
          </w:tcPr>
          <w:p>
            <w:r>
              <w:rPr>
                <w:b/>
                <w:bCs/>
                <w:color w:val="FFFFFF"/>
                <w:sz w:val="20"/>
                <w:szCs w:val="20"/>
              </w:rPr>
              <w:t xml:space="preserve">Truck type</w:t>
            </w:r>
          </w:p>
        </w:tc>
        <w:tc>
          <w:tcPr>
            <w:tcW w:type="dxa" w:w="2800"/>
            <w:shd w:fill="1F6F4A" w:val="clear"/>
          </w:tcPr>
          <w:p>
            <w:r>
              <w:rPr>
                <w:b/>
                <w:bCs/>
                <w:color w:val="FFFFFF"/>
                <w:sz w:val="20"/>
                <w:szCs w:val="20"/>
              </w:rPr>
              <w:t xml:space="preserve">Capacity</w:t>
            </w:r>
          </w:p>
        </w:tc>
        <w:tc>
          <w:tcPr>
            <w:tcW w:type="dxa" w:w="2200"/>
            <w:shd w:fill="1F6F4A" w:val="clear"/>
          </w:tcPr>
          <w:p>
            <w:r>
              <w:rPr>
                <w:b/>
                <w:bCs/>
                <w:color w:val="FFFFFF"/>
                <w:sz w:val="20"/>
                <w:szCs w:val="20"/>
              </w:rPr>
              <w:t xml:space="preserve">Max weight</w:t>
            </w:r>
          </w:p>
        </w:tc>
        <w:tc>
          <w:tcPr>
            <w:tcW w:type="dxa" w:w="1800"/>
            <w:shd w:fill="1F6F4A" w:val="clear"/>
          </w:tcPr>
          <w:p>
            <w:r>
              <w:rPr>
                <w:b/>
                <w:bCs/>
                <w:color w:val="FFFFFF"/>
                <w:sz w:val="20"/>
                <w:szCs w:val="20"/>
              </w:rPr>
              <w:t xml:space="preserve">Base rate (TSh)</w:t>
            </w:r>
          </w:p>
        </w:tc>
      </w:tr>
      <w:tr>
        <w:tc>
          <w:tcPr>
            <w:tcW w:type="dxa" w:w="2600"/>
          </w:tcPr>
          <w:p>
            <w:r>
              <w:rPr>
                <w:b w:val="false"/>
                <w:bCs w:val="false"/>
                <w:color w:val="000000"/>
                <w:sz w:val="20"/>
                <w:szCs w:val="20"/>
              </w:rPr>
              <w:t xml:space="preserve">Tricycle</w:t>
            </w:r>
          </w:p>
        </w:tc>
        <w:tc>
          <w:tcPr>
            <w:tcW w:type="dxa" w:w="2800"/>
          </w:tcPr>
          <w:p>
            <w:r>
              <w:rPr>
                <w:b w:val="false"/>
                <w:bCs w:val="false"/>
                <w:color w:val="000000"/>
                <w:sz w:val="20"/>
                <w:szCs w:val="20"/>
              </w:rPr>
              <w:t xml:space="preserve">up to 0.5 m3</w:t>
            </w:r>
          </w:p>
        </w:tc>
        <w:tc>
          <w:tcPr>
            <w:tcW w:type="dxa" w:w="2200"/>
          </w:tcPr>
          <w:p>
            <w:r>
              <w:rPr>
                <w:b w:val="false"/>
                <w:bCs w:val="false"/>
                <w:color w:val="000000"/>
                <w:sz w:val="20"/>
                <w:szCs w:val="20"/>
              </w:rPr>
              <w:t xml:space="preserve">400 kg</w:t>
            </w:r>
          </w:p>
        </w:tc>
        <w:tc>
          <w:tcPr>
            <w:tcW w:type="dxa" w:w="1800"/>
          </w:tcPr>
          <w:p>
            <w:r>
              <w:rPr>
                <w:b w:val="false"/>
                <w:bCs w:val="false"/>
                <w:color w:val="000000"/>
                <w:sz w:val="20"/>
                <w:szCs w:val="20"/>
              </w:rPr>
              <w:t xml:space="preserve">3,000</w:t>
            </w:r>
          </w:p>
        </w:tc>
      </w:tr>
      <w:tr>
        <w:tc>
          <w:tcPr>
            <w:tcW w:type="dxa" w:w="2600"/>
          </w:tcPr>
          <w:p>
            <w:r>
              <w:rPr>
                <w:b w:val="false"/>
                <w:bCs w:val="false"/>
                <w:color w:val="000000"/>
                <w:sz w:val="20"/>
                <w:szCs w:val="20"/>
              </w:rPr>
              <w:t xml:space="preserve">Small Truck</w:t>
            </w:r>
          </w:p>
        </w:tc>
        <w:tc>
          <w:tcPr>
            <w:tcW w:type="dxa" w:w="2800"/>
          </w:tcPr>
          <w:p>
            <w:r>
              <w:rPr>
                <w:b w:val="false"/>
                <w:bCs w:val="false"/>
                <w:color w:val="000000"/>
                <w:sz w:val="20"/>
                <w:szCs w:val="20"/>
              </w:rPr>
              <w:t xml:space="preserve">up to 3 m3</w:t>
            </w:r>
          </w:p>
        </w:tc>
        <w:tc>
          <w:tcPr>
            <w:tcW w:type="dxa" w:w="2200"/>
          </w:tcPr>
          <w:p>
            <w:r>
              <w:rPr>
                <w:b w:val="false"/>
                <w:bCs w:val="false"/>
                <w:color w:val="000000"/>
                <w:sz w:val="20"/>
                <w:szCs w:val="20"/>
              </w:rPr>
              <w:t xml:space="preserve">1,500 kg</w:t>
            </w:r>
          </w:p>
        </w:tc>
        <w:tc>
          <w:tcPr>
            <w:tcW w:type="dxa" w:w="1800"/>
          </w:tcPr>
          <w:p>
            <w:r>
              <w:rPr>
                <w:b w:val="false"/>
                <w:bCs w:val="false"/>
                <w:color w:val="000000"/>
                <w:sz w:val="20"/>
                <w:szCs w:val="20"/>
              </w:rPr>
              <w:t xml:space="preserve">8,000</w:t>
            </w:r>
          </w:p>
        </w:tc>
      </w:tr>
      <w:tr>
        <w:tc>
          <w:tcPr>
            <w:tcW w:type="dxa" w:w="2600"/>
          </w:tcPr>
          <w:p>
            <w:r>
              <w:rPr>
                <w:b w:val="false"/>
                <w:bCs w:val="false"/>
                <w:color w:val="000000"/>
                <w:sz w:val="20"/>
                <w:szCs w:val="20"/>
              </w:rPr>
              <w:t xml:space="preserve">Large Truck</w:t>
            </w:r>
          </w:p>
        </w:tc>
        <w:tc>
          <w:tcPr>
            <w:tcW w:type="dxa" w:w="2800"/>
          </w:tcPr>
          <w:p>
            <w:r>
              <w:rPr>
                <w:b w:val="false"/>
                <w:bCs w:val="false"/>
                <w:color w:val="000000"/>
                <w:sz w:val="20"/>
                <w:szCs w:val="20"/>
              </w:rPr>
              <w:t xml:space="preserve">up to 10 m3</w:t>
            </w:r>
          </w:p>
        </w:tc>
        <w:tc>
          <w:tcPr>
            <w:tcW w:type="dxa" w:w="2200"/>
          </w:tcPr>
          <w:p>
            <w:r>
              <w:rPr>
                <w:b w:val="false"/>
                <w:bCs w:val="false"/>
                <w:color w:val="000000"/>
                <w:sz w:val="20"/>
                <w:szCs w:val="20"/>
              </w:rPr>
              <w:t xml:space="preserve">8,000 kg</w:t>
            </w:r>
          </w:p>
        </w:tc>
        <w:tc>
          <w:tcPr>
            <w:tcW w:type="dxa" w:w="1800"/>
          </w:tcPr>
          <w:p>
            <w:r>
              <w:rPr>
                <w:b w:val="false"/>
                <w:bCs w:val="false"/>
                <w:color w:val="000000"/>
                <w:sz w:val="20"/>
                <w:szCs w:val="20"/>
              </w:rPr>
              <w:t xml:space="preserve">20,000</w:t>
            </w:r>
          </w:p>
        </w:tc>
      </w:tr>
    </w:tbl>
    <w:p>
      <w:pPr>
        <w:spacing w:after="160"/>
      </w:pPr>
      <w:r>
        <w:rPr>
          <w:b w:val="false"/>
          <w:bCs w:val="false"/>
          <w:i w:val="false"/>
          <w:iCs w:val="false"/>
        </w:rPr>
        <w:t xml:space="preserve"/>
      </w:r>
    </w:p>
    <w:p>
      <w:pPr>
        <w:pStyle w:val="Heading2"/>
        <w:spacing w:after="150" w:before="300"/>
      </w:pPr>
      <w:r>
        <w:t xml:space="preserve">7.2 Registering a B2B Picker</w:t>
      </w:r>
    </w:p>
    <w:p>
      <w:pPr>
        <w:spacing w:after="160"/>
      </w:pPr>
      <w:r>
        <w:rPr>
          <w:b w:val="false"/>
          <w:bCs w:val="false"/>
          <w:i w:val="false"/>
          <w:iCs w:val="false"/>
        </w:rPr>
        <w:t xml:space="preserve">B2B pickers are never self-signup — you register them entirely: name, contact details, truck type, and base location. This single action creates the account already approved (no separate approval step, unlike a self-signed-up B2C picker) and emails them an invitation link to set their own password.</w:t>
      </w:r>
    </w:p>
    <w:p>
      <w:pPr>
        <w:spacing w:after="160"/>
        <w:ind w:left="200"/>
      </w:pPr>
      <w:r>
        <w:rPr>
          <w:b/>
          <w:bCs/>
          <w:color w:val="1F6F4A"/>
        </w:rPr>
        <w:t xml:space="preserve">Note: </w:t>
      </w:r>
      <w:r>
        <w:t xml:space="preserve">Picking-fee weight tiers still apply in full to B2B orders — weight is never ignored for wholesale. Only the delivery-fee formula differs (truck base rate + per-km, instead of pure per-km).</w:t>
      </w:r>
    </w:p>
    <w:p>
      <w:pPr>
        <w:pStyle w:val="Heading1"/>
        <w:spacing w:after="200" w:before="400"/>
      </w:pPr>
      <w:r>
        <w:t xml:space="preserve">8. User Management</w:t>
      </w:r>
    </w:p>
    <w:p>
      <w:pPr>
        <w:spacing w:after="160"/>
      </w:pPr>
      <w:r>
        <w:rPr>
          <w:b/>
          <w:bCs/>
        </w:rPr>
        <w:t xml:space="preserve">Admin Portal path: </w:t>
      </w:r>
      <w:r>
        <w:rPr>
          <w:i/>
          <w:iCs/>
          <w:color w:val="1F6F4A"/>
        </w:rPr>
        <w:t xml:space="preserve">Admin Portal -&gt; Users</w:t>
      </w:r>
    </w:p>
    <w:p>
      <w:pPr>
        <w:spacing w:after="160"/>
      </w:pPr>
      <w:r>
        <w:rPr>
          <w:b w:val="false"/>
          <w:bCs w:val="false"/>
          <w:i w:val="false"/>
          <w:iCs w:val="false"/>
        </w:rPr>
        <w:t xml:space="preserve">A searchable list of every customer and picker, with a B2B/B2C sub-filter for pickers. From here you can:</w:t>
      </w:r>
    </w:p>
    <w:p>
      <w:pPr>
        <w:pStyle w:val="ListParagraph"/>
        <w:numPr>
          <w:ilvl w:val="0"/>
          <w:numId w:val="2"/>
        </w:numPr>
        <w:spacing w:after="80"/>
      </w:pPr>
      <w:r>
        <w:t xml:space="preserve">Edit any user's profile details, including a picker's vehicle/truck, location, and regions served.</w:t>
      </w:r>
    </w:p>
    <w:p>
      <w:pPr>
        <w:pStyle w:val="ListParagraph"/>
        <w:numPr>
          <w:ilvl w:val="0"/>
          <w:numId w:val="2"/>
        </w:numPr>
        <w:spacing w:after="80"/>
      </w:pPr>
      <w:r>
        <w:t xml:space="preserve">Approve a newly self-signed-up B2C picker (B2B pickers are pre-approved automatically, see 7.2).</w:t>
      </w:r>
    </w:p>
    <w:p>
      <w:pPr>
        <w:pStyle w:val="ListParagraph"/>
        <w:numPr>
          <w:ilvl w:val="0"/>
          <w:numId w:val="2"/>
        </w:numPr>
        <w:spacing w:after="80"/>
      </w:pPr>
      <w:r>
        <w:t xml:space="preserve">Suspend/reactivate an account (toggle active) — reversible, keeps all their history intact.</w:t>
      </w:r>
    </w:p>
    <w:p>
      <w:pPr>
        <w:pStyle w:val="ListParagraph"/>
        <w:numPr>
          <w:ilvl w:val="0"/>
          <w:numId w:val="2"/>
        </w:numPr>
        <w:spacing w:after="80"/>
      </w:pPr>
      <w:r>
        <w:t xml:space="preserve">Permanently delete an account — only available where safe to do so; an account with order history is protected from accidental deletion.</w:t>
      </w:r>
    </w:p>
    <w:p>
      <w:pPr>
        <w:pStyle w:val="Heading1"/>
        <w:spacing w:after="200" w:before="400"/>
      </w:pPr>
      <w:r>
        <w:t xml:space="preserve">9. Markets and Known Areas</w:t>
      </w:r>
    </w:p>
    <w:p>
      <w:pPr>
        <w:pStyle w:val="Heading2"/>
        <w:spacing w:after="150" w:before="300"/>
      </w:pPr>
      <w:r>
        <w:t xml:space="preserve">9.1 Markets</w:t>
      </w:r>
    </w:p>
    <w:p>
      <w:pPr>
        <w:spacing w:after="160"/>
      </w:pPr>
      <w:r>
        <w:rPr>
          <w:b/>
          <w:bCs/>
        </w:rPr>
        <w:t xml:space="preserve">Admin Portal path: </w:t>
      </w:r>
      <w:r>
        <w:rPr>
          <w:i/>
          <w:iCs/>
          <w:color w:val="1F6F4A"/>
        </w:rPr>
        <w:t xml:space="preserve">Admin Portal -&gt; Markets</w:t>
      </w:r>
    </w:p>
    <w:p>
      <w:pPr>
        <w:spacing w:after="160"/>
      </w:pPr>
      <w:r>
        <w:rPr>
          <w:b w:val="false"/>
          <w:bCs w:val="false"/>
          <w:i w:val="false"/>
          <w:iCs w:val="false"/>
        </w:rPr>
        <w:t xml:space="preserve">The registered list of physical markets pickers are based at (imported from a CSV of real Dar es Salaam markets, and extendable). Pickers select their base market from this list at registration, which anchors their delivery-fee/distance calculations to a real, fixed location rather than wherever they happen to be standing.</w:t>
      </w:r>
    </w:p>
    <w:p>
      <w:pPr>
        <w:pStyle w:val="Heading2"/>
        <w:spacing w:after="150" w:before="300"/>
      </w:pPr>
      <w:r>
        <w:t xml:space="preserve">9.2 Known Areas</w:t>
      </w:r>
    </w:p>
    <w:p>
      <w:pPr>
        <w:spacing w:after="160"/>
      </w:pPr>
      <w:r>
        <w:rPr>
          <w:b/>
          <w:bCs/>
        </w:rPr>
        <w:t xml:space="preserve">Admin Portal path: </w:t>
      </w:r>
      <w:r>
        <w:rPr>
          <w:i/>
          <w:iCs/>
          <w:color w:val="1F6F4A"/>
        </w:rPr>
        <w:t xml:space="preserve">Admin Portal -&gt; Known Areas</w:t>
      </w:r>
    </w:p>
    <w:p>
      <w:pPr>
        <w:spacing w:after="160"/>
      </w:pPr>
      <w:r>
        <w:rPr>
          <w:b w:val="false"/>
          <w:bCs w:val="false"/>
          <w:i w:val="false"/>
          <w:iCs w:val="false"/>
        </w:rPr>
        <w:t xml:space="preserve">A gazetteer of named delivery areas/neighbourhoods with coordinates, used to speed up and improve location search sitewide. It is self-improving — when the AI assistant or a customer resolves a new area during checkout, it can be learned into this list automatically — and you can also bulk-import areas from a CSV.</w:t>
      </w:r>
    </w:p>
    <w:p>
      <w:pPr>
        <w:pStyle w:val="Heading1"/>
        <w:spacing w:after="200" w:before="400"/>
      </w:pPr>
      <w:r>
        <w:t xml:space="preserve">10. Orders and Tracking</w:t>
      </w:r>
    </w:p>
    <w:p>
      <w:pPr>
        <w:spacing w:after="160"/>
      </w:pPr>
      <w:r>
        <w:rPr>
          <w:b w:val="false"/>
          <w:bCs w:val="false"/>
          <w:i w:val="false"/>
          <w:iCs w:val="false"/>
        </w:rPr>
        <w:t xml:space="preserve">Every order moves through a fixed sequence of statuses:</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400"/>
        <w:gridCol w:w="6900"/>
      </w:tblGrid>
      <w:tr>
        <w:tc>
          <w:tcPr>
            <w:tcW w:type="dxa" w:w="2400"/>
            <w:shd w:fill="1F6F4A" w:val="clear"/>
          </w:tcPr>
          <w:p>
            <w:r>
              <w:rPr>
                <w:b/>
                <w:bCs/>
                <w:color w:val="FFFFFF"/>
                <w:sz w:val="20"/>
                <w:szCs w:val="20"/>
              </w:rPr>
              <w:t xml:space="preserve">Status</w:t>
            </w:r>
          </w:p>
        </w:tc>
        <w:tc>
          <w:tcPr>
            <w:tcW w:type="dxa" w:w="6900"/>
            <w:shd w:fill="1F6F4A" w:val="clear"/>
          </w:tcPr>
          <w:p>
            <w:r>
              <w:rPr>
                <w:b/>
                <w:bCs/>
                <w:color w:val="FFFFFF"/>
                <w:sz w:val="20"/>
                <w:szCs w:val="20"/>
              </w:rPr>
              <w:t xml:space="preserve">Meaning</w:t>
            </w:r>
          </w:p>
        </w:tc>
      </w:tr>
      <w:tr>
        <w:tc>
          <w:tcPr>
            <w:tcW w:type="dxa" w:w="2400"/>
          </w:tcPr>
          <w:p>
            <w:r>
              <w:rPr>
                <w:b w:val="false"/>
                <w:bCs w:val="false"/>
                <w:color w:val="000000"/>
                <w:sz w:val="20"/>
                <w:szCs w:val="20"/>
              </w:rPr>
              <w:t xml:space="preserve">Pending payment</w:t>
            </w:r>
          </w:p>
        </w:tc>
        <w:tc>
          <w:tcPr>
            <w:tcW w:type="dxa" w:w="6900"/>
          </w:tcPr>
          <w:p>
            <w:r>
              <w:rPr>
                <w:b w:val="false"/>
                <w:bCs w:val="false"/>
                <w:color w:val="000000"/>
                <w:sz w:val="20"/>
                <w:szCs w:val="20"/>
              </w:rPr>
              <w:t xml:space="preserve">Order placed, waiting for the customer to pay and submit proof.</w:t>
            </w:r>
          </w:p>
        </w:tc>
      </w:tr>
      <w:tr>
        <w:tc>
          <w:tcPr>
            <w:tcW w:type="dxa" w:w="2400"/>
          </w:tcPr>
          <w:p>
            <w:r>
              <w:rPr>
                <w:b w:val="false"/>
                <w:bCs w:val="false"/>
                <w:color w:val="000000"/>
                <w:sz w:val="20"/>
                <w:szCs w:val="20"/>
              </w:rPr>
              <w:t xml:space="preserve">Confirmed</w:t>
            </w:r>
          </w:p>
        </w:tc>
        <w:tc>
          <w:tcPr>
            <w:tcW w:type="dxa" w:w="6900"/>
          </w:tcPr>
          <w:p>
            <w:r>
              <w:rPr>
                <w:b w:val="false"/>
                <w:bCs w:val="false"/>
                <w:color w:val="000000"/>
                <w:sz w:val="20"/>
                <w:szCs w:val="20"/>
              </w:rPr>
              <w:t xml:space="preserve">Payment approved by an admin; picker notified to start shopping.</w:t>
            </w:r>
          </w:p>
        </w:tc>
      </w:tr>
      <w:tr>
        <w:tc>
          <w:tcPr>
            <w:tcW w:type="dxa" w:w="2400"/>
          </w:tcPr>
          <w:p>
            <w:r>
              <w:rPr>
                <w:b w:val="false"/>
                <w:bCs w:val="false"/>
                <w:color w:val="000000"/>
                <w:sz w:val="20"/>
                <w:szCs w:val="20"/>
              </w:rPr>
              <w:t xml:space="preserve">Picking</w:t>
            </w:r>
          </w:p>
        </w:tc>
        <w:tc>
          <w:tcPr>
            <w:tcW w:type="dxa" w:w="6900"/>
          </w:tcPr>
          <w:p>
            <w:r>
              <w:rPr>
                <w:b w:val="false"/>
                <w:bCs w:val="false"/>
                <w:color w:val="000000"/>
                <w:sz w:val="20"/>
                <w:szCs w:val="20"/>
              </w:rPr>
              <w:t xml:space="preserve">Picker is gathering the order at the market.</w:t>
            </w:r>
          </w:p>
        </w:tc>
      </w:tr>
      <w:tr>
        <w:tc>
          <w:tcPr>
            <w:tcW w:type="dxa" w:w="2400"/>
          </w:tcPr>
          <w:p>
            <w:r>
              <w:rPr>
                <w:b w:val="false"/>
                <w:bCs w:val="false"/>
                <w:color w:val="000000"/>
                <w:sz w:val="20"/>
                <w:szCs w:val="20"/>
              </w:rPr>
              <w:t xml:space="preserve">In transit</w:t>
            </w:r>
          </w:p>
        </w:tc>
        <w:tc>
          <w:tcPr>
            <w:tcW w:type="dxa" w:w="6900"/>
          </w:tcPr>
          <w:p>
            <w:r>
              <w:rPr>
                <w:b w:val="false"/>
                <w:bCs w:val="false"/>
                <w:color w:val="000000"/>
                <w:sz w:val="20"/>
                <w:szCs w:val="20"/>
              </w:rPr>
              <w:t xml:space="preserve">Picker is on the way to the customer, live-tracked on a map.</w:t>
            </w:r>
          </w:p>
        </w:tc>
      </w:tr>
      <w:tr>
        <w:tc>
          <w:tcPr>
            <w:tcW w:type="dxa" w:w="2400"/>
          </w:tcPr>
          <w:p>
            <w:r>
              <w:rPr>
                <w:b w:val="false"/>
                <w:bCs w:val="false"/>
                <w:color w:val="000000"/>
                <w:sz w:val="20"/>
                <w:szCs w:val="20"/>
              </w:rPr>
              <w:t xml:space="preserve">Delivered</w:t>
            </w:r>
          </w:p>
        </w:tc>
        <w:tc>
          <w:tcPr>
            <w:tcW w:type="dxa" w:w="6900"/>
          </w:tcPr>
          <w:p>
            <w:r>
              <w:rPr>
                <w:b w:val="false"/>
                <w:bCs w:val="false"/>
                <w:color w:val="000000"/>
                <w:sz w:val="20"/>
                <w:szCs w:val="20"/>
              </w:rPr>
              <w:t xml:space="preserve">Completed; customer can rate the picker.</w:t>
            </w:r>
          </w:p>
        </w:tc>
      </w:tr>
      <w:tr>
        <w:tc>
          <w:tcPr>
            <w:tcW w:type="dxa" w:w="2400"/>
          </w:tcPr>
          <w:p>
            <w:r>
              <w:rPr>
                <w:b w:val="false"/>
                <w:bCs w:val="false"/>
                <w:color w:val="000000"/>
                <w:sz w:val="20"/>
                <w:szCs w:val="20"/>
              </w:rPr>
              <w:t xml:space="preserve">Cancelled</w:t>
            </w:r>
          </w:p>
        </w:tc>
        <w:tc>
          <w:tcPr>
            <w:tcW w:type="dxa" w:w="6900"/>
          </w:tcPr>
          <w:p>
            <w:r>
              <w:rPr>
                <w:b w:val="false"/>
                <w:bCs w:val="false"/>
                <w:color w:val="000000"/>
                <w:sz w:val="20"/>
                <w:szCs w:val="20"/>
              </w:rPr>
              <w:t xml:space="preserve">Order will not proceed.</w:t>
            </w:r>
          </w:p>
        </w:tc>
      </w:tr>
    </w:tbl>
    <w:p>
      <w:pPr>
        <w:spacing w:after="160"/>
      </w:pPr>
      <w:r>
        <w:rPr>
          <w:b w:val="false"/>
          <w:bCs w:val="false"/>
          <w:i w:val="false"/>
          <w:iCs w:val="false"/>
        </w:rPr>
        <w:t xml:space="preserve"/>
      </w:r>
    </w:p>
    <w:p>
      <w:pPr>
        <w:pStyle w:val="Heading2"/>
        <w:spacing w:after="150" w:before="300"/>
      </w:pPr>
      <w:r>
        <w:t xml:space="preserve">10.1 Approving Payment</w:t>
      </w:r>
    </w:p>
    <w:p>
      <w:pPr>
        <w:spacing w:after="160"/>
      </w:pPr>
      <w:r>
        <w:rPr>
          <w:b w:val="false"/>
          <w:bCs w:val="false"/>
          <w:i w:val="false"/>
          <w:iCs w:val="false"/>
        </w:rPr>
        <w:t xml:space="preserve">When a customer submits payment proof (via WhatsApp, using an admin-set number, see section 11.2), approve it directly from the order list or order detail page to move the order to Confirmed and notify the picker.</w:t>
      </w:r>
    </w:p>
    <w:p>
      <w:pPr>
        <w:pStyle w:val="Heading2"/>
        <w:spacing w:after="150" w:before="300"/>
      </w:pPr>
      <w:r>
        <w:t xml:space="preserve">10.2 Tracking a Delivery</w:t>
      </w:r>
    </w:p>
    <w:p>
      <w:pPr>
        <w:spacing w:after="160"/>
      </w:pPr>
      <w:r>
        <w:rPr>
          <w:b w:val="false"/>
          <w:bCs w:val="false"/>
          <w:i w:val="false"/>
          <w:iCs w:val="false"/>
        </w:rPr>
        <w:t xml:space="preserve">Any in-transit order can be opened on a live map (Admin Portal -&gt; an order's Track link) showing the picker's real position and the real road route to the customer — not a straight line. A sitewide "Order Locations Map" also shows every delivered address ever recorded, with status/date filters.</w:t>
      </w:r>
    </w:p>
    <w:p>
      <w:pPr>
        <w:pStyle w:val="Heading2"/>
        <w:spacing w:after="150" w:before="300"/>
      </w:pPr>
      <w:r>
        <w:t xml:space="preserve">10.3 Stale Orders</w:t>
      </w:r>
    </w:p>
    <w:p>
      <w:pPr>
        <w:spacing w:after="160"/>
      </w:pPr>
      <w:r>
        <w:rPr>
          <w:b/>
          <w:bCs/>
        </w:rPr>
        <w:t xml:space="preserve">Admin Portal path: </w:t>
      </w:r>
      <w:r>
        <w:rPr>
          <w:i/>
          <w:iCs/>
          <w:color w:val="1F6F4A"/>
        </w:rPr>
        <w:t xml:space="preserve">Admin Portal -&gt; Stale Orders</w:t>
      </w:r>
    </w:p>
    <w:p>
      <w:pPr>
        <w:spacing w:after="160"/>
      </w:pPr>
      <w:r>
        <w:rPr>
          <w:b w:val="false"/>
          <w:bCs w:val="false"/>
          <w:i w:val="false"/>
          <w:iCs w:val="false"/>
        </w:rPr>
        <w:t xml:space="preserve">Orders stuck in Pending Payment for a long time (abandoned checkouts) can be reviewed and deleted here to keep the order list clean.</w:t>
      </w:r>
    </w:p>
    <w:p>
      <w:pPr>
        <w:pStyle w:val="Heading1"/>
        <w:spacing w:after="200" w:before="400"/>
      </w:pPr>
      <w:r>
        <w:t xml:space="preserve">11. Payments</w:t>
      </w:r>
    </w:p>
    <w:p>
      <w:pPr>
        <w:pStyle w:val="Heading2"/>
        <w:spacing w:after="150" w:before="300"/>
      </w:pPr>
      <w:r>
        <w:t xml:space="preserve">11.1 Payment Methods (Lipa Namba)</w:t>
      </w:r>
    </w:p>
    <w:p>
      <w:pPr>
        <w:spacing w:after="160"/>
      </w:pPr>
      <w:r>
        <w:rPr>
          <w:b/>
          <w:bCs/>
        </w:rPr>
        <w:t xml:space="preserve">Admin Portal path: </w:t>
      </w:r>
      <w:r>
        <w:rPr>
          <w:i/>
          <w:iCs/>
          <w:color w:val="1F6F4A"/>
        </w:rPr>
        <w:t xml:space="preserve">Admin Portal -&gt; Payment Methods</w:t>
      </w:r>
    </w:p>
    <w:p>
      <w:pPr>
        <w:spacing w:after="160"/>
      </w:pPr>
      <w:r>
        <w:rPr>
          <w:b w:val="false"/>
          <w:bCs w:val="false"/>
          <w:i w:val="false"/>
          <w:iCs w:val="false"/>
        </w:rPr>
        <w:t xml:space="preserve">Register one or more mobile-money "Lipa Namba" numbers (with provider, account name, and instructions). These are exactly what a customer sees on the "how to pay" screen at checkout, and can be toggled active/inactive without deleting them.</w:t>
      </w:r>
    </w:p>
    <w:p>
      <w:pPr>
        <w:pStyle w:val="Heading2"/>
        <w:spacing w:after="150" w:before="300"/>
      </w:pPr>
      <w:r>
        <w:t xml:space="preserve">11.2 WhatsApp Payment Proof</w:t>
      </w:r>
    </w:p>
    <w:p>
      <w:pPr>
        <w:spacing w:after="160"/>
      </w:pPr>
      <w:r>
        <w:rPr>
          <w:b w:val="false"/>
          <w:bCs w:val="false"/>
          <w:i w:val="false"/>
          <w:iCs w:val="false"/>
        </w:rPr>
        <w:t xml:space="preserve">An admin-set WhatsApp number (Admin Portal -&gt; Contact Info) receives every customer's "send proof of payment" message, pre-filled with the exact order amount, the customer's name/contact, and instructions — you then approve the matching order (section 10.1).</w:t>
      </w:r>
    </w:p>
    <w:p>
      <w:pPr>
        <w:pStyle w:val="Heading1"/>
        <w:spacing w:after="200" w:before="400"/>
      </w:pPr>
      <w:r>
        <w:t xml:space="preserve">12. Financial Dashboard and Picker Payouts</w:t>
      </w:r>
    </w:p>
    <w:p>
      <w:pPr>
        <w:pStyle w:val="Heading2"/>
        <w:spacing w:after="150" w:before="300"/>
      </w:pPr>
      <w:r>
        <w:t xml:space="preserve">12.1 Financial Dashboard</w:t>
      </w:r>
    </w:p>
    <w:p>
      <w:pPr>
        <w:spacing w:after="160"/>
      </w:pPr>
      <w:r>
        <w:rPr>
          <w:b/>
          <w:bCs/>
        </w:rPr>
        <w:t xml:space="preserve">Admin Portal path: </w:t>
      </w:r>
      <w:r>
        <w:rPr>
          <w:i/>
          <w:iCs/>
          <w:color w:val="1F6F4A"/>
        </w:rPr>
        <w:t xml:space="preserve">Admin Portal -&gt; Financial Dashboard</w:t>
      </w:r>
    </w:p>
    <w:p>
      <w:pPr>
        <w:spacing w:after="160"/>
      </w:pPr>
      <w:r>
        <w:rPr>
          <w:b w:val="false"/>
          <w:bCs w:val="false"/>
          <w:i w:val="false"/>
          <w:iCs w:val="false"/>
        </w:rPr>
        <w:t xml:space="preserve">Sitewide totals — total delivery fees, total picking fees, and other revenue figures — for a birds-eye view of platform income.</w:t>
      </w:r>
    </w:p>
    <w:p>
      <w:pPr>
        <w:pStyle w:val="Heading2"/>
        <w:spacing w:after="150" w:before="300"/>
      </w:pPr>
      <w:r>
        <w:t xml:space="preserve">12.2 Picker Payouts</w:t>
      </w:r>
    </w:p>
    <w:p>
      <w:pPr>
        <w:spacing w:after="160"/>
      </w:pPr>
      <w:r>
        <w:rPr>
          <w:b/>
          <w:bCs/>
        </w:rPr>
        <w:t xml:space="preserve">Admin Portal path: </w:t>
      </w:r>
      <w:r>
        <w:rPr>
          <w:i/>
          <w:iCs/>
          <w:color w:val="1F6F4A"/>
        </w:rPr>
        <w:t xml:space="preserve">Admin Portal -&gt; Picker Payouts</w:t>
      </w:r>
    </w:p>
    <w:p>
      <w:pPr>
        <w:spacing w:after="160"/>
      </w:pPr>
      <w:r>
        <w:rPr>
          <w:b w:val="false"/>
          <w:bCs w:val="false"/>
          <w:i w:val="false"/>
          <w:iCs w:val="false"/>
        </w:rPr>
        <w:t xml:space="preserve">Each picker's running earnings ledger (their share after Platform Commission, section 5.5, is deducted). Mark a picker as paid once you've transferred their earnings outside the system — this records the payout and resets their running balance.</w:t>
      </w:r>
    </w:p>
    <w:p>
      <w:pPr>
        <w:pStyle w:val="Heading1"/>
        <w:spacing w:after="200" w:before="400"/>
      </w:pPr>
      <w:r>
        <w:t xml:space="preserve">13. Analytics</w:t>
      </w:r>
    </w:p>
    <w:p>
      <w:pPr>
        <w:pStyle w:val="Heading2"/>
        <w:spacing w:after="150" w:before="300"/>
      </w:pPr>
      <w:r>
        <w:t xml:space="preserve">13.1 Market and Customer Insights</w:t>
      </w:r>
    </w:p>
    <w:p>
      <w:pPr>
        <w:spacing w:after="160"/>
      </w:pPr>
      <w:r>
        <w:rPr>
          <w:b/>
          <w:bCs/>
        </w:rPr>
        <w:t xml:space="preserve">Admin Portal path: </w:t>
      </w:r>
      <w:r>
        <w:rPr>
          <w:i/>
          <w:iCs/>
          <w:color w:val="1F6F4A"/>
        </w:rPr>
        <w:t xml:space="preserve">Admin Portal -&gt; Market &amp; Customer Insights</w:t>
      </w:r>
    </w:p>
    <w:p>
      <w:pPr>
        <w:spacing w:after="160"/>
      </w:pPr>
      <w:r>
        <w:rPr>
          <w:b w:val="false"/>
          <w:bCs w:val="false"/>
          <w:i w:val="false"/>
          <w:iCs w:val="false"/>
        </w:rPr>
        <w:t xml:space="preserve">A business-intelligence dashboard: top-selling products, breakdown by delivery area/market, ordering patterns by day/hour/season, customer growth trends, average delivery cost, average ratings, and product-demand signals built from real customer searches and contact-form submissions — nothing here is manually entered, all of it is computed from actual recorded activity.</w:t>
      </w:r>
    </w:p>
    <w:p>
      <w:pPr>
        <w:pStyle w:val="Heading2"/>
        <w:spacing w:after="150" w:before="300"/>
      </w:pPr>
      <w:r>
        <w:t xml:space="preserve">13.2 Regional Price Trends</w:t>
      </w:r>
    </w:p>
    <w:p>
      <w:pPr>
        <w:spacing w:after="160"/>
      </w:pPr>
      <w:r>
        <w:rPr>
          <w:b w:val="false"/>
          <w:bCs w:val="false"/>
          <w:i w:val="false"/>
          <w:iCs w:val="false"/>
        </w:rPr>
        <w:t xml:space="preserve">Covered in section 4.5 — this is where you feed in the real price data that powers both the product-trend badges and this analytics dashboard.</w:t>
      </w:r>
    </w:p>
    <w:p>
      <w:pPr>
        <w:pStyle w:val="Heading1"/>
        <w:spacing w:after="200" w:before="400"/>
      </w:pPr>
      <w:r>
        <w:t xml:space="preserve">14. Home Page Content</w:t>
      </w:r>
    </w:p>
    <w:p>
      <w:pPr>
        <w:spacing w:after="160"/>
      </w:pPr>
      <w:r>
        <w:rPr>
          <w:b/>
          <w:bCs/>
        </w:rPr>
        <w:t xml:space="preserve">Admin Portal path: </w:t>
      </w:r>
      <w:r>
        <w:rPr>
          <w:i/>
          <w:iCs/>
          <w:color w:val="1F6F4A"/>
        </w:rPr>
        <w:t xml:space="preserve">Admin Portal -&gt; Home Page Content</w:t>
      </w:r>
    </w:p>
    <w:p>
      <w:pPr>
        <w:spacing w:after="160"/>
      </w:pPr>
      <w:r>
        <w:rPr>
          <w:b w:val="false"/>
          <w:bCs w:val="false"/>
          <w:i w:val="false"/>
          <w:iCs w:val="false"/>
        </w:rPr>
        <w:t xml:space="preserve">Controls what customers see on the public home page before they even log in:</w:t>
      </w:r>
    </w:p>
    <w:p>
      <w:pPr>
        <w:pStyle w:val="ListParagraph"/>
        <w:numPr>
          <w:ilvl w:val="0"/>
          <w:numId w:val="2"/>
        </w:numPr>
        <w:spacing w:after="80"/>
      </w:pPr>
      <w:r>
        <w:t xml:space="preserve">"How it works" section — title, description, and either a video or an image with thumbnail.</w:t>
      </w:r>
    </w:p>
    <w:p>
      <w:pPr>
        <w:pStyle w:val="ListParagraph"/>
        <w:numPr>
          <w:ilvl w:val="0"/>
          <w:numId w:val="2"/>
        </w:numPr>
        <w:spacing w:after="80"/>
      </w:pPr>
      <w:r>
        <w:t xml:space="preserve">News/announcement items — add, edit, toggle visible, or delete.</w:t>
      </w:r>
    </w:p>
    <w:p>
      <w:pPr>
        <w:pStyle w:val="ListParagraph"/>
        <w:numPr>
          <w:ilvl w:val="0"/>
          <w:numId w:val="2"/>
        </w:numPr>
        <w:spacing w:after="80"/>
      </w:pPr>
      <w:r>
        <w:t xml:space="preserve">Partner/client logos — a row of logos with a customizable heading, each individually toggleable.</w:t>
      </w:r>
    </w:p>
    <w:p>
      <w:pPr>
        <w:pStyle w:val="Heading1"/>
        <w:spacing w:after="200" w:before="400"/>
      </w:pPr>
      <w:r>
        <w:t xml:space="preserve">15. Contact Settings</w:t>
      </w:r>
    </w:p>
    <w:p>
      <w:pPr>
        <w:spacing w:after="160"/>
      </w:pPr>
      <w:r>
        <w:rPr>
          <w:b/>
          <w:bCs/>
        </w:rPr>
        <w:t xml:space="preserve">Admin Portal path: </w:t>
      </w:r>
      <w:r>
        <w:rPr>
          <w:i/>
          <w:iCs/>
          <w:color w:val="1F6F4A"/>
        </w:rPr>
        <w:t xml:space="preserve">Admin Portal -&gt; Contact Info</w:t>
      </w:r>
    </w:p>
    <w:p>
      <w:pPr>
        <w:spacing w:after="160"/>
      </w:pPr>
      <w:r>
        <w:rPr>
          <w:b w:val="false"/>
          <w:bCs w:val="false"/>
          <w:i w:val="false"/>
          <w:iCs w:val="false"/>
        </w:rPr>
        <w:t xml:space="preserve">The support email, inquiry email, direct email, phone number(s), office address, and the WhatsApp number used for payment proof (section 11.2) — all shown on the public Contact page and used to route the contact form.</w:t>
      </w:r>
    </w:p>
    <w:p>
      <w:pPr>
        <w:pStyle w:val="Heading1"/>
        <w:spacing w:after="200" w:before="400"/>
      </w:pPr>
      <w:r>
        <w:t xml:space="preserve">16. Legal Policies</w:t>
      </w:r>
    </w:p>
    <w:p>
      <w:pPr>
        <w:spacing w:after="160"/>
      </w:pPr>
      <w:r>
        <w:rPr>
          <w:b/>
          <w:bCs/>
        </w:rPr>
        <w:t xml:space="preserve">Admin Portal path: </w:t>
      </w:r>
      <w:r>
        <w:rPr>
          <w:i/>
          <w:iCs/>
          <w:color w:val="1F6F4A"/>
        </w:rPr>
        <w:t xml:space="preserve">Admin Portal -&gt; Legal Policies</w:t>
      </w:r>
    </w:p>
    <w:p>
      <w:pPr>
        <w:spacing w:after="160"/>
      </w:pPr>
      <w:r>
        <w:rPr>
          <w:b w:val="false"/>
          <w:bCs w:val="false"/>
          <w:i w:val="false"/>
          <w:iCs w:val="false"/>
        </w:rPr>
        <w:t xml:space="preserve">Edit the Terms &amp; Conditions, Privacy Policy, and Cookie Policy shown to customers and tracked as "accepted" during signup.</w:t>
      </w:r>
    </w:p>
    <w:p>
      <w:pPr>
        <w:pStyle w:val="Heading1"/>
        <w:spacing w:after="200" w:before="400"/>
      </w:pPr>
      <w:r>
        <w:t xml:space="preserve">17. Broadcast Messaging</w:t>
      </w:r>
    </w:p>
    <w:p>
      <w:pPr>
        <w:spacing w:after="160"/>
      </w:pPr>
      <w:r>
        <w:rPr>
          <w:b/>
          <w:bCs/>
        </w:rPr>
        <w:t xml:space="preserve">Admin Portal path: </w:t>
      </w:r>
      <w:r>
        <w:rPr>
          <w:i/>
          <w:iCs/>
          <w:color w:val="1F6F4A"/>
        </w:rPr>
        <w:t xml:space="preserve">Admin Portal -&gt; Send Update (SMS/Email)</w:t>
      </w:r>
    </w:p>
    <w:p>
      <w:pPr>
        <w:spacing w:after="160"/>
      </w:pPr>
      <w:r>
        <w:rPr>
          <w:b w:val="false"/>
          <w:bCs w:val="false"/>
          <w:i w:val="false"/>
          <w:iCs w:val="false"/>
        </w:rPr>
        <w:t xml:space="preserve">Send an announcement to every customer, every picker, or both at once, delivered by SMS and email together — useful for service outages, policy changes, or general announcements.</w:t>
      </w:r>
    </w:p>
    <w:p>
      <w:pPr>
        <w:pStyle w:val="Heading1"/>
        <w:spacing w:after="200" w:before="400"/>
      </w:pPr>
      <w:r>
        <w:t xml:space="preserve">18. The Bilingual (English/Kiswahili) System</w:t>
      </w:r>
    </w:p>
    <w:p>
      <w:pPr>
        <w:spacing w:after="160"/>
      </w:pPr>
      <w:r>
        <w:rPr>
          <w:b w:val="false"/>
          <w:bCs w:val="false"/>
          <w:i w:val="false"/>
          <w:iCs w:val="false"/>
        </w:rPr>
        <w:t xml:space="preserve">Customers and pickers each choose English or Kiswahili from their own account menu; the choice is saved to their profile and used on every subsequent visit. Wherever you see paired "English" / "Kiswahili" fields in this guide (product names, categories, units), leaving the Kiswahili side blank is always safe — the site falls back to showing the English text until you fill it in, so nothing ever displays empty.</w:t>
      </w:r>
    </w:p>
    <w:p>
      <w:pPr>
        <w:spacing w:after="160"/>
      </w:pPr>
      <w:r>
        <w:rPr>
          <w:b w:val="false"/>
          <w:bCs w:val="false"/>
          <w:i w:val="false"/>
          <w:iCs w:val="false"/>
        </w:rPr>
        <w:t xml:space="preserve">Dates, day names, and piece-counted quantities are also fully bilingual: a Kiswahili-language customer sees real weekday/month names ("Jumatano, Julai 15") and, for items sold by the piece, the quantity spelled out in natural Kiswahili ("Ndizi kumi na moja" for 11 bananas) rather than a mixed English/number display.</w:t>
      </w:r>
    </w:p>
    <w:p>
      <w:pPr>
        <w:spacing w:after="160"/>
      </w:pPr>
      <w:r>
        <w:rPr>
          <w:b w:val="false"/>
          <w:bCs w:val="false"/>
          <w:i w:val="false"/>
          <w:iCs w:val="false"/>
        </w:rPr>
        <w:t xml:space="preserve">The AI shopping assistant also follows this same site-wide language choice for its default reply language and its mode-picker greetings, only switching mid-conversation if a customer's own message is clearly written in the other language.</w:t>
      </w:r>
    </w:p>
    <w:p>
      <w:pPr>
        <w:pStyle w:val="Heading1"/>
        <w:spacing w:after="200" w:before="400"/>
      </w:pPr>
      <w:r>
        <w:t xml:space="preserve">19. Quick Reference: Every Admin Page</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3000"/>
        <w:gridCol w:w="6300"/>
      </w:tblGrid>
      <w:tr>
        <w:tc>
          <w:tcPr>
            <w:tcW w:type="dxa" w:w="3000"/>
            <w:shd w:fill="1F6F4A" w:val="clear"/>
          </w:tcPr>
          <w:p>
            <w:r>
              <w:rPr>
                <w:b/>
                <w:bCs/>
                <w:color w:val="FFFFFF"/>
                <w:sz w:val="20"/>
                <w:szCs w:val="20"/>
              </w:rPr>
              <w:t xml:space="preserve">Page</w:t>
            </w:r>
          </w:p>
        </w:tc>
        <w:tc>
          <w:tcPr>
            <w:tcW w:type="dxa" w:w="6300"/>
            <w:shd w:fill="1F6F4A" w:val="clear"/>
          </w:tcPr>
          <w:p>
            <w:r>
              <w:rPr>
                <w:b/>
                <w:bCs/>
                <w:color w:val="FFFFFF"/>
                <w:sz w:val="20"/>
                <w:szCs w:val="20"/>
              </w:rPr>
              <w:t xml:space="preserve">What it controls</w:t>
            </w:r>
          </w:p>
        </w:tc>
      </w:tr>
      <w:tr>
        <w:tc>
          <w:tcPr>
            <w:tcW w:type="dxa" w:w="3000"/>
          </w:tcPr>
          <w:p>
            <w:r>
              <w:rPr>
                <w:b w:val="false"/>
                <w:bCs w:val="false"/>
                <w:color w:val="000000"/>
                <w:sz w:val="20"/>
                <w:szCs w:val="20"/>
              </w:rPr>
              <w:t xml:space="preserve">Add/Edit Product</w:t>
            </w:r>
          </w:p>
        </w:tc>
        <w:tc>
          <w:tcPr>
            <w:tcW w:type="dxa" w:w="6300"/>
          </w:tcPr>
          <w:p>
            <w:r>
              <w:rPr>
                <w:b w:val="false"/>
                <w:bCs w:val="false"/>
                <w:color w:val="000000"/>
                <w:sz w:val="20"/>
                <w:szCs w:val="20"/>
              </w:rPr>
              <w:t xml:space="preserve">Products, categories, units of measure, per-product measures</w:t>
            </w:r>
          </w:p>
        </w:tc>
      </w:tr>
      <w:tr>
        <w:tc>
          <w:tcPr>
            <w:tcW w:type="dxa" w:w="3000"/>
          </w:tcPr>
          <w:p>
            <w:r>
              <w:rPr>
                <w:b w:val="false"/>
                <w:bCs w:val="false"/>
                <w:color w:val="000000"/>
                <w:sz w:val="20"/>
                <w:szCs w:val="20"/>
              </w:rPr>
              <w:t xml:space="preserve">Users</w:t>
            </w:r>
          </w:p>
        </w:tc>
        <w:tc>
          <w:tcPr>
            <w:tcW w:type="dxa" w:w="6300"/>
          </w:tcPr>
          <w:p>
            <w:r>
              <w:rPr>
                <w:b w:val="false"/>
                <w:bCs w:val="false"/>
                <w:color w:val="000000"/>
                <w:sz w:val="20"/>
                <w:szCs w:val="20"/>
              </w:rPr>
              <w:t xml:space="preserve">Customer/picker accounts, approvals, suspend/delete, B2B picker registration</w:t>
            </w:r>
          </w:p>
        </w:tc>
      </w:tr>
      <w:tr>
        <w:tc>
          <w:tcPr>
            <w:tcW w:type="dxa" w:w="3000"/>
          </w:tcPr>
          <w:p>
            <w:r>
              <w:rPr>
                <w:b w:val="false"/>
                <w:bCs w:val="false"/>
                <w:color w:val="000000"/>
                <w:sz w:val="20"/>
                <w:szCs w:val="20"/>
              </w:rPr>
              <w:t xml:space="preserve">Stale Orders</w:t>
            </w:r>
          </w:p>
        </w:tc>
        <w:tc>
          <w:tcPr>
            <w:tcW w:type="dxa" w:w="6300"/>
          </w:tcPr>
          <w:p>
            <w:r>
              <w:rPr>
                <w:b w:val="false"/>
                <w:bCs w:val="false"/>
                <w:color w:val="000000"/>
                <w:sz w:val="20"/>
                <w:szCs w:val="20"/>
              </w:rPr>
              <w:t xml:space="preserve">Clean up abandoned pending-payment orders</w:t>
            </w:r>
          </w:p>
        </w:tc>
      </w:tr>
      <w:tr>
        <w:tc>
          <w:tcPr>
            <w:tcW w:type="dxa" w:w="3000"/>
          </w:tcPr>
          <w:p>
            <w:r>
              <w:rPr>
                <w:b w:val="false"/>
                <w:bCs w:val="false"/>
                <w:color w:val="000000"/>
                <w:sz w:val="20"/>
                <w:szCs w:val="20"/>
              </w:rPr>
              <w:t xml:space="preserve">Payment Methods</w:t>
            </w:r>
          </w:p>
        </w:tc>
        <w:tc>
          <w:tcPr>
            <w:tcW w:type="dxa" w:w="6300"/>
          </w:tcPr>
          <w:p>
            <w:r>
              <w:rPr>
                <w:b w:val="false"/>
                <w:bCs w:val="false"/>
                <w:color w:val="000000"/>
                <w:sz w:val="20"/>
                <w:szCs w:val="20"/>
              </w:rPr>
              <w:t xml:space="preserve">Lipa Namba mobile-money numbers shown at checkout</w:t>
            </w:r>
          </w:p>
        </w:tc>
      </w:tr>
      <w:tr>
        <w:tc>
          <w:tcPr>
            <w:tcW w:type="dxa" w:w="3000"/>
          </w:tcPr>
          <w:p>
            <w:r>
              <w:rPr>
                <w:b w:val="false"/>
                <w:bCs w:val="false"/>
                <w:color w:val="000000"/>
                <w:sz w:val="20"/>
                <w:szCs w:val="20"/>
              </w:rPr>
              <w:t xml:space="preserve">Contact Info</w:t>
            </w:r>
          </w:p>
        </w:tc>
        <w:tc>
          <w:tcPr>
            <w:tcW w:type="dxa" w:w="6300"/>
          </w:tcPr>
          <w:p>
            <w:r>
              <w:rPr>
                <w:b w:val="false"/>
                <w:bCs w:val="false"/>
                <w:color w:val="000000"/>
                <w:sz w:val="20"/>
                <w:szCs w:val="20"/>
              </w:rPr>
              <w:t xml:space="preserve">Public contact details + WhatsApp payment-proof number</w:t>
            </w:r>
          </w:p>
        </w:tc>
      </w:tr>
      <w:tr>
        <w:tc>
          <w:tcPr>
            <w:tcW w:type="dxa" w:w="3000"/>
          </w:tcPr>
          <w:p>
            <w:r>
              <w:rPr>
                <w:b w:val="false"/>
                <w:bCs w:val="false"/>
                <w:color w:val="000000"/>
                <w:sz w:val="20"/>
                <w:szCs w:val="20"/>
              </w:rPr>
              <w:t xml:space="preserve">Home Page Content</w:t>
            </w:r>
          </w:p>
        </w:tc>
        <w:tc>
          <w:tcPr>
            <w:tcW w:type="dxa" w:w="6300"/>
          </w:tcPr>
          <w:p>
            <w:r>
              <w:rPr>
                <w:b w:val="false"/>
                <w:bCs w:val="false"/>
                <w:color w:val="000000"/>
                <w:sz w:val="20"/>
                <w:szCs w:val="20"/>
              </w:rPr>
              <w:t xml:space="preserve">"How it works" section, news, partner logos</w:t>
            </w:r>
          </w:p>
        </w:tc>
      </w:tr>
      <w:tr>
        <w:tc>
          <w:tcPr>
            <w:tcW w:type="dxa" w:w="3000"/>
          </w:tcPr>
          <w:p>
            <w:r>
              <w:rPr>
                <w:b w:val="false"/>
                <w:bCs w:val="false"/>
                <w:color w:val="000000"/>
                <w:sz w:val="20"/>
                <w:szCs w:val="20"/>
              </w:rPr>
              <w:t xml:space="preserve">Legal Policies</w:t>
            </w:r>
          </w:p>
        </w:tc>
        <w:tc>
          <w:tcPr>
            <w:tcW w:type="dxa" w:w="6300"/>
          </w:tcPr>
          <w:p>
            <w:r>
              <w:rPr>
                <w:b w:val="false"/>
                <w:bCs w:val="false"/>
                <w:color w:val="000000"/>
                <w:sz w:val="20"/>
                <w:szCs w:val="20"/>
              </w:rPr>
              <w:t xml:space="preserve">Terms, Privacy Policy, Cookie Policy</w:t>
            </w:r>
          </w:p>
        </w:tc>
      </w:tr>
      <w:tr>
        <w:tc>
          <w:tcPr>
            <w:tcW w:type="dxa" w:w="3000"/>
          </w:tcPr>
          <w:p>
            <w:r>
              <w:rPr>
                <w:b w:val="false"/>
                <w:bCs w:val="false"/>
                <w:color w:val="000000"/>
                <w:sz w:val="20"/>
                <w:szCs w:val="20"/>
              </w:rPr>
              <w:t xml:space="preserve">Picker Settings</w:t>
            </w:r>
          </w:p>
        </w:tc>
        <w:tc>
          <w:tcPr>
            <w:tcW w:type="dxa" w:w="6300"/>
          </w:tcPr>
          <w:p>
            <w:r>
              <w:rPr>
                <w:b w:val="false"/>
                <w:bCs w:val="false"/>
                <w:color w:val="000000"/>
                <w:sz w:val="20"/>
                <w:szCs w:val="20"/>
              </w:rPr>
              <w:t xml:space="preserve">Max orders/day (B2C + B2B), delivery weekdays</w:t>
            </w:r>
          </w:p>
        </w:tc>
      </w:tr>
      <w:tr>
        <w:tc>
          <w:tcPr>
            <w:tcW w:type="dxa" w:w="3000"/>
          </w:tcPr>
          <w:p>
            <w:r>
              <w:rPr>
                <w:b w:val="false"/>
                <w:bCs w:val="false"/>
                <w:color w:val="000000"/>
                <w:sz w:val="20"/>
                <w:szCs w:val="20"/>
              </w:rPr>
              <w:t xml:space="preserve">Fee Settings</w:t>
            </w:r>
          </w:p>
        </w:tc>
        <w:tc>
          <w:tcPr>
            <w:tcW w:type="dxa" w:w="6300"/>
          </w:tcPr>
          <w:p>
            <w:r>
              <w:rPr>
                <w:b w:val="false"/>
                <w:bCs w:val="false"/>
                <w:color w:val="000000"/>
                <w:sz w:val="20"/>
                <w:szCs w:val="20"/>
              </w:rPr>
              <w:t xml:space="preserve">Delivery, picking (+ diversity surcharge), package, quick-delivery, commission</w:t>
            </w:r>
          </w:p>
        </w:tc>
      </w:tr>
      <w:tr>
        <w:tc>
          <w:tcPr>
            <w:tcW w:type="dxa" w:w="3000"/>
          </w:tcPr>
          <w:p>
            <w:r>
              <w:rPr>
                <w:b w:val="false"/>
                <w:bCs w:val="false"/>
                <w:color w:val="000000"/>
                <w:sz w:val="20"/>
                <w:szCs w:val="20"/>
              </w:rPr>
              <w:t xml:space="preserve">Truck Types</w:t>
            </w:r>
          </w:p>
        </w:tc>
        <w:tc>
          <w:tcPr>
            <w:tcW w:type="dxa" w:w="6300"/>
          </w:tcPr>
          <w:p>
            <w:r>
              <w:rPr>
                <w:b w:val="false"/>
                <w:bCs w:val="false"/>
                <w:color w:val="000000"/>
                <w:sz w:val="20"/>
                <w:szCs w:val="20"/>
              </w:rPr>
              <w:t xml:space="preserve">B2B truck catalog (capacity, max weight, base rate)</w:t>
            </w:r>
          </w:p>
        </w:tc>
      </w:tr>
      <w:tr>
        <w:tc>
          <w:tcPr>
            <w:tcW w:type="dxa" w:w="3000"/>
          </w:tcPr>
          <w:p>
            <w:r>
              <w:rPr>
                <w:b w:val="false"/>
                <w:bCs w:val="false"/>
                <w:color w:val="000000"/>
                <w:sz w:val="20"/>
                <w:szCs w:val="20"/>
              </w:rPr>
              <w:t xml:space="preserve">Known Areas</w:t>
            </w:r>
          </w:p>
        </w:tc>
        <w:tc>
          <w:tcPr>
            <w:tcW w:type="dxa" w:w="6300"/>
          </w:tcPr>
          <w:p>
            <w:r>
              <w:rPr>
                <w:b w:val="false"/>
                <w:bCs w:val="false"/>
                <w:color w:val="000000"/>
                <w:sz w:val="20"/>
                <w:szCs w:val="20"/>
              </w:rPr>
              <w:t xml:space="preserve">Named-location gazetteer for search/checkout</w:t>
            </w:r>
          </w:p>
        </w:tc>
      </w:tr>
      <w:tr>
        <w:tc>
          <w:tcPr>
            <w:tcW w:type="dxa" w:w="3000"/>
          </w:tcPr>
          <w:p>
            <w:r>
              <w:rPr>
                <w:b w:val="false"/>
                <w:bCs w:val="false"/>
                <w:color w:val="000000"/>
                <w:sz w:val="20"/>
                <w:szCs w:val="20"/>
              </w:rPr>
              <w:t xml:space="preserve">Markets</w:t>
            </w:r>
          </w:p>
        </w:tc>
        <w:tc>
          <w:tcPr>
            <w:tcW w:type="dxa" w:w="6300"/>
          </w:tcPr>
          <w:p>
            <w:r>
              <w:rPr>
                <w:b w:val="false"/>
                <w:bCs w:val="false"/>
                <w:color w:val="000000"/>
                <w:sz w:val="20"/>
                <w:szCs w:val="20"/>
              </w:rPr>
              <w:t xml:space="preserve">Registered physical market locations pickers are based at</w:t>
            </w:r>
          </w:p>
        </w:tc>
      </w:tr>
      <w:tr>
        <w:tc>
          <w:tcPr>
            <w:tcW w:type="dxa" w:w="3000"/>
          </w:tcPr>
          <w:p>
            <w:r>
              <w:rPr>
                <w:b w:val="false"/>
                <w:bCs w:val="false"/>
                <w:color w:val="000000"/>
                <w:sz w:val="20"/>
                <w:szCs w:val="20"/>
              </w:rPr>
              <w:t xml:space="preserve">Order Locations Map</w:t>
            </w:r>
          </w:p>
        </w:tc>
        <w:tc>
          <w:tcPr>
            <w:tcW w:type="dxa" w:w="6300"/>
          </w:tcPr>
          <w:p>
            <w:r>
              <w:rPr>
                <w:b w:val="false"/>
                <w:bCs w:val="false"/>
                <w:color w:val="000000"/>
                <w:sz w:val="20"/>
                <w:szCs w:val="20"/>
              </w:rPr>
              <w:t xml:space="preserve">Every delivered address, filterable by status/date</w:t>
            </w:r>
          </w:p>
        </w:tc>
      </w:tr>
      <w:tr>
        <w:tc>
          <w:tcPr>
            <w:tcW w:type="dxa" w:w="3000"/>
          </w:tcPr>
          <w:p>
            <w:r>
              <w:rPr>
                <w:b w:val="false"/>
                <w:bCs w:val="false"/>
                <w:color w:val="000000"/>
                <w:sz w:val="20"/>
                <w:szCs w:val="20"/>
              </w:rPr>
              <w:t xml:space="preserve">Picker Payouts</w:t>
            </w:r>
          </w:p>
        </w:tc>
        <w:tc>
          <w:tcPr>
            <w:tcW w:type="dxa" w:w="6300"/>
          </w:tcPr>
          <w:p>
            <w:r>
              <w:rPr>
                <w:b w:val="false"/>
                <w:bCs w:val="false"/>
                <w:color w:val="000000"/>
                <w:sz w:val="20"/>
                <w:szCs w:val="20"/>
              </w:rPr>
              <w:t xml:space="preserve">Picker earnings ledger + mark-as-paid</w:t>
            </w:r>
          </w:p>
        </w:tc>
      </w:tr>
      <w:tr>
        <w:tc>
          <w:tcPr>
            <w:tcW w:type="dxa" w:w="3000"/>
          </w:tcPr>
          <w:p>
            <w:r>
              <w:rPr>
                <w:b w:val="false"/>
                <w:bCs w:val="false"/>
                <w:color w:val="000000"/>
                <w:sz w:val="20"/>
                <w:szCs w:val="20"/>
              </w:rPr>
              <w:t xml:space="preserve">Financial Dashboard</w:t>
            </w:r>
          </w:p>
        </w:tc>
        <w:tc>
          <w:tcPr>
            <w:tcW w:type="dxa" w:w="6300"/>
          </w:tcPr>
          <w:p>
            <w:r>
              <w:rPr>
                <w:b w:val="false"/>
                <w:bCs w:val="false"/>
                <w:color w:val="000000"/>
                <w:sz w:val="20"/>
                <w:szCs w:val="20"/>
              </w:rPr>
              <w:t xml:space="preserve">Sitewide revenue totals</w:t>
            </w:r>
          </w:p>
        </w:tc>
      </w:tr>
      <w:tr>
        <w:tc>
          <w:tcPr>
            <w:tcW w:type="dxa" w:w="3000"/>
          </w:tcPr>
          <w:p>
            <w:r>
              <w:rPr>
                <w:b w:val="false"/>
                <w:bCs w:val="false"/>
                <w:color w:val="000000"/>
                <w:sz w:val="20"/>
                <w:szCs w:val="20"/>
              </w:rPr>
              <w:t xml:space="preserve">Market &amp; Customer Insights</w:t>
            </w:r>
          </w:p>
        </w:tc>
        <w:tc>
          <w:tcPr>
            <w:tcW w:type="dxa" w:w="6300"/>
          </w:tcPr>
          <w:p>
            <w:r>
              <w:rPr>
                <w:b w:val="false"/>
                <w:bCs w:val="false"/>
                <w:color w:val="000000"/>
                <w:sz w:val="20"/>
                <w:szCs w:val="20"/>
              </w:rPr>
              <w:t xml:space="preserve">Full BI dashboard from real recorded activity</w:t>
            </w:r>
          </w:p>
        </w:tc>
      </w:tr>
      <w:tr>
        <w:tc>
          <w:tcPr>
            <w:tcW w:type="dxa" w:w="3000"/>
          </w:tcPr>
          <w:p>
            <w:r>
              <w:rPr>
                <w:b w:val="false"/>
                <w:bCs w:val="false"/>
                <w:color w:val="000000"/>
                <w:sz w:val="20"/>
                <w:szCs w:val="20"/>
              </w:rPr>
              <w:t xml:space="preserve">Regional Price Trends</w:t>
            </w:r>
          </w:p>
        </w:tc>
        <w:tc>
          <w:tcPr>
            <w:tcW w:type="dxa" w:w="6300"/>
          </w:tcPr>
          <w:p>
            <w:r>
              <w:rPr>
                <w:b w:val="false"/>
                <w:bCs w:val="false"/>
                <w:color w:val="000000"/>
                <w:sz w:val="20"/>
                <w:szCs w:val="20"/>
              </w:rPr>
              <w:t xml:space="preserve">Feed in real farm/market prices per region</w:t>
            </w:r>
          </w:p>
        </w:tc>
      </w:tr>
      <w:tr>
        <w:tc>
          <w:tcPr>
            <w:tcW w:type="dxa" w:w="3000"/>
          </w:tcPr>
          <w:p>
            <w:r>
              <w:rPr>
                <w:b w:val="false"/>
                <w:bCs w:val="false"/>
                <w:color w:val="000000"/>
                <w:sz w:val="20"/>
                <w:szCs w:val="20"/>
              </w:rPr>
              <w:t xml:space="preserve">Send Update (SMS/Email)</w:t>
            </w:r>
          </w:p>
        </w:tc>
        <w:tc>
          <w:tcPr>
            <w:tcW w:type="dxa" w:w="6300"/>
          </w:tcPr>
          <w:p>
            <w:r>
              <w:rPr>
                <w:b w:val="false"/>
                <w:bCs w:val="false"/>
                <w:color w:val="000000"/>
                <w:sz w:val="20"/>
                <w:szCs w:val="20"/>
              </w:rPr>
              <w:t xml:space="preserve">Broadcast an announcement to customers/pickers</w:t>
            </w:r>
          </w:p>
        </w:tc>
      </w:tr>
    </w:tbl>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60"/>
      </w:pPr>
    </w:lvl>
  </w:abstractNum>
  <w:abstractNum w:abstractNumId="3" w15:restartNumberingAfterBreak="0">
    <w:multiLevelType w:val="hybridMultilevel"/>
    <w:lvl w:ilvl="0" w15:tentative="1">
      <w:start w:val="1"/>
      <w:numFmt w:val="decimal"/>
      <w:lvlText w:val="%1."/>
      <w:lvlJc w:val="left"/>
      <w:pPr>
        <w:ind w:left="480" w:hanging="2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pPr>
    <w:rPr>
      <w:b/>
      <w:bCs/>
      <w:color w:val="1F6F4A"/>
      <w:sz w:val="32"/>
      <w:szCs w:val="32"/>
    </w:rPr>
  </w:style>
  <w:style w:type="paragraph" w:styleId="Heading2">
    <w:name w:val="Heading 2"/>
    <w:basedOn w:val="Normal"/>
    <w:next w:val="Normal"/>
    <w:qFormat/>
    <w:pPr>
      <w:spacing w:after="150" w:before="300"/>
    </w:pPr>
    <w:rPr>
      <w:b/>
      <w:bCs/>
      <w:color w:val="333333"/>
      <w:sz w:val="26"/>
      <w:szCs w:val="26"/>
    </w:rPr>
  </w:style>
  <w:style w:type="paragraph" w:styleId="Heading3">
    <w:name w:val="Heading 3"/>
    <w:basedOn w:val="Normal"/>
    <w:next w:val="Normal"/>
    <w:qFormat/>
    <w:pPr>
      <w:spacing w:after="100" w:before="200"/>
    </w:pPr>
    <w:rPr>
      <w:b/>
      <w:bCs/>
      <w:i/>
      <w:iCs/>
      <w:color w:val="333333"/>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2026-07-13T10:26:18.470Z</dcterms:created>
  <dcterms:modified xsi:type="dcterms:W3CDTF">2026-07-13T10:26:18.471Z</dcterms:modified>
</cp:coreProperties>
</file>

<file path=docProps/custom.xml><?xml version="1.0" encoding="utf-8"?>
<Properties xmlns="http://schemas.openxmlformats.org/officeDocument/2006/custom-properties" xmlns:vt="http://schemas.openxmlformats.org/officeDocument/2006/docPropsVTypes"/>
</file>